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15E54" w:rsidRDefault="00000000">
      <w:pPr>
        <w:jc w:val="right"/>
        <w:rPr>
          <w:rFonts w:asciiTheme="minorHAnsi" w:hAnsiTheme="minorHAnsi" w:cstheme="minorHAnsi"/>
          <w:i/>
          <w:iCs/>
          <w:sz w:val="22"/>
          <w:szCs w:val="22"/>
        </w:rPr>
      </w:pPr>
      <w:r>
        <w:rPr>
          <w:rFonts w:asciiTheme="minorHAnsi" w:hAnsiTheme="minorHAnsi" w:cstheme="minorHAnsi"/>
          <w:i/>
          <w:iCs/>
          <w:sz w:val="22"/>
          <w:szCs w:val="22"/>
        </w:rPr>
        <w:t>Załącznik do KARTY OCENY ZAŁOŻEŃ PROJEKTU INFORMATYCZNEGO NR P530</w:t>
      </w:r>
    </w:p>
    <w:p w:rsidR="00A15E54" w:rsidRDefault="00A15E54">
      <w:pPr>
        <w:jc w:val="center"/>
      </w:pP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4"/>
        <w:gridCol w:w="1418"/>
        <w:gridCol w:w="7371"/>
        <w:gridCol w:w="1984"/>
        <w:gridCol w:w="2919"/>
      </w:tblGrid>
      <w:tr w:rsidR="00A15E54">
        <w:trPr>
          <w:trHeight w:val="711"/>
        </w:trPr>
        <w:tc>
          <w:tcPr>
            <w:tcW w:w="15388" w:type="dxa"/>
            <w:gridSpan w:val="6"/>
            <w:vAlign w:val="center"/>
          </w:tcPr>
          <w:p w:rsidR="00A15E54" w:rsidRDefault="00000000">
            <w:pPr>
              <w:rPr>
                <w:rFonts w:asciiTheme="minorHAnsi" w:hAnsiTheme="minorHAnsi" w:cstheme="minorHAnsi"/>
                <w:b/>
                <w:i/>
                <w:sz w:val="22"/>
                <w:szCs w:val="22"/>
              </w:rPr>
            </w:pPr>
            <w:r>
              <w:rPr>
                <w:rFonts w:asciiTheme="minorHAnsi" w:hAnsiTheme="minorHAnsi" w:cstheme="minorHAnsi"/>
                <w:b/>
                <w:i/>
                <w:sz w:val="22"/>
                <w:szCs w:val="22"/>
              </w:rPr>
              <w:t xml:space="preserve">Nazwa dokumentu: </w:t>
            </w:r>
            <w:r>
              <w:rPr>
                <w:rFonts w:asciiTheme="minorHAnsi" w:hAnsiTheme="minorHAnsi" w:cstheme="minorHAnsi"/>
                <w:i/>
                <w:sz w:val="22"/>
                <w:szCs w:val="22"/>
              </w:rPr>
              <w:t>Opis założeń projektu informatycznego pn.</w:t>
            </w:r>
            <w:r>
              <w:rPr>
                <w:rFonts w:asciiTheme="minorHAnsi" w:hAnsiTheme="minorHAnsi" w:cstheme="minorHAnsi"/>
                <w:b/>
                <w:i/>
                <w:sz w:val="22"/>
                <w:szCs w:val="22"/>
              </w:rPr>
              <w:t xml:space="preserve"> „Chopin 2.0 – Cyfrowa Platforma VOD zasobów naukowych NIFC” </w:t>
            </w:r>
            <w:r>
              <w:rPr>
                <w:rFonts w:asciiTheme="minorHAnsi" w:hAnsiTheme="minorHAnsi" w:cstheme="minorHAnsi"/>
                <w:i/>
                <w:sz w:val="22"/>
                <w:szCs w:val="22"/>
              </w:rPr>
              <w:t>(Wnioskodawca: Minister Kultury i Dziedzictwa Narodowego, Beneficjent: Narodowy Instytut Fryderyka Chopina)</w:t>
            </w:r>
          </w:p>
        </w:tc>
      </w:tr>
      <w:tr w:rsidR="00A15E54">
        <w:tc>
          <w:tcPr>
            <w:tcW w:w="562" w:type="dxa"/>
            <w:vAlign w:val="center"/>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Lp.</w:t>
            </w:r>
          </w:p>
        </w:tc>
        <w:tc>
          <w:tcPr>
            <w:tcW w:w="1134" w:type="dxa"/>
            <w:vAlign w:val="center"/>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Organ wnoszący uwagi</w:t>
            </w:r>
          </w:p>
        </w:tc>
        <w:tc>
          <w:tcPr>
            <w:tcW w:w="1418" w:type="dxa"/>
            <w:vAlign w:val="center"/>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Jednostka redakcyjna, do której wnoszone są uwagi</w:t>
            </w:r>
          </w:p>
        </w:tc>
        <w:tc>
          <w:tcPr>
            <w:tcW w:w="7371" w:type="dxa"/>
            <w:vAlign w:val="center"/>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Treść uwagi</w:t>
            </w:r>
          </w:p>
        </w:tc>
        <w:tc>
          <w:tcPr>
            <w:tcW w:w="1984" w:type="dxa"/>
            <w:vAlign w:val="center"/>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Propozycja zmian zapisu</w:t>
            </w:r>
          </w:p>
        </w:tc>
        <w:tc>
          <w:tcPr>
            <w:tcW w:w="2919" w:type="dxa"/>
            <w:vAlign w:val="center"/>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Odniesienie do uwagi</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Uwaga ogólna</w:t>
            </w:r>
          </w:p>
        </w:tc>
        <w:tc>
          <w:tcPr>
            <w:tcW w:w="7371" w:type="dxa"/>
          </w:tcPr>
          <w:p w:rsidR="00A15E54" w:rsidRDefault="00000000">
            <w:pPr>
              <w:rPr>
                <w:rFonts w:asciiTheme="minorHAnsi" w:hAnsiTheme="minorHAnsi" w:cstheme="minorHAnsi"/>
                <w:bCs/>
                <w:sz w:val="22"/>
                <w:szCs w:val="22"/>
              </w:rPr>
            </w:pPr>
            <w:r>
              <w:rPr>
                <w:rFonts w:asciiTheme="minorHAnsi" w:hAnsiTheme="minorHAnsi" w:cstheme="minorHAnsi"/>
                <w:bCs/>
                <w:sz w:val="22"/>
                <w:szCs w:val="22"/>
              </w:rPr>
              <w:t>Z perspektywy analizy biznesowej i zarządzania projektami cyfrowymi można postawić tezę, że projekt „Chopin 2.0 – Cyfrowa Platforma VOD zasobów naukowych NIFC” łączy dwa duże, odrębne przedsięwzięcia o różnej logice biznesowej, różnych grupach użytkowników, odmiennych wymaganiach technologicznych oraz różnych celach strategicznych. Powoduje to wrażenie, że wspólny projekt został zbudowany bardziej na potrzeby stworzenia jednego dużego przedsięwzięcia inwestycyjnego niż w wyniku naturalnej potrzeby realizacji jednego spójnego produktu cyfrowego.</w:t>
            </w:r>
          </w:p>
          <w:p w:rsidR="00A15E54" w:rsidRDefault="00000000">
            <w:pPr>
              <w:rPr>
                <w:rFonts w:asciiTheme="minorHAnsi" w:hAnsiTheme="minorHAnsi" w:cstheme="minorHAnsi"/>
                <w:bCs/>
                <w:sz w:val="22"/>
                <w:szCs w:val="22"/>
              </w:rPr>
            </w:pPr>
            <w:r>
              <w:rPr>
                <w:rFonts w:asciiTheme="minorHAnsi" w:hAnsiTheme="minorHAnsi" w:cstheme="minorHAnsi"/>
                <w:bCs/>
                <w:sz w:val="22"/>
                <w:szCs w:val="22"/>
              </w:rPr>
              <w:t xml:space="preserve">Pierwszym obszarem projektu jest digitalizacja, opracowanie i udostępnienie nagrań audiowizualnych. Jest to klasyczny projekt budowy platformy VOD i repozytorium multimedialnego. Jego głównym celem jest zapewnienie dostępu do materiałów audio i wideo, ich katalogowanie, transkodowanie, publikacja, wyszukiwanie oraz udostępnianie użytkownikom końcowym. Kluczowymi zagadnieniami są tutaj zarządzanie dużymi plikami multimedialnymi, infrastruktura </w:t>
            </w:r>
            <w:proofErr w:type="spellStart"/>
            <w:r>
              <w:rPr>
                <w:rFonts w:asciiTheme="minorHAnsi" w:hAnsiTheme="minorHAnsi" w:cstheme="minorHAnsi"/>
                <w:bCs/>
                <w:sz w:val="22"/>
                <w:szCs w:val="22"/>
              </w:rPr>
              <w:t>storage</w:t>
            </w:r>
            <w:proofErr w:type="spellEnd"/>
            <w:r>
              <w:rPr>
                <w:rFonts w:asciiTheme="minorHAnsi" w:hAnsiTheme="minorHAnsi" w:cstheme="minorHAnsi"/>
                <w:bCs/>
                <w:sz w:val="22"/>
                <w:szCs w:val="22"/>
              </w:rPr>
              <w:t>, CDN, streaming, prawa do nagrań, dostępność cyfrowa oraz doświadczenie użytkownika korzystającego z materiałów audiowizualnych.</w:t>
            </w:r>
          </w:p>
          <w:p w:rsidR="00A15E54" w:rsidRDefault="00000000">
            <w:pPr>
              <w:rPr>
                <w:rFonts w:asciiTheme="minorHAnsi" w:hAnsiTheme="minorHAnsi" w:cstheme="minorHAnsi"/>
                <w:bCs/>
                <w:sz w:val="22"/>
                <w:szCs w:val="22"/>
              </w:rPr>
            </w:pPr>
            <w:r>
              <w:rPr>
                <w:rFonts w:asciiTheme="minorHAnsi" w:hAnsiTheme="minorHAnsi" w:cstheme="minorHAnsi"/>
                <w:bCs/>
                <w:sz w:val="22"/>
                <w:szCs w:val="22"/>
              </w:rPr>
              <w:t>Drugim obszarem jest opracowanie i cyfrowe udostępnienie korespondencji Fryderyka Chopina. Jest to projekt o zupełnie innym charakterze, bliższy humanistyce cyfrowej, archiwistyce oraz naukowym repozytoriom źródeł historycznych. Kluczowe znaczenie mają tutaj transkrypcje, tłumaczenia, opracowanie naukowe, metadane, modelowanie relacji pomiędzy dokumentami, standardy TEI XML oraz zaawansowane narzędzia pracy badawczej. Głównymi użytkownikami są badacze, historycy, filologowie, muzykolodzy i archiwiści.</w:t>
            </w:r>
          </w:p>
          <w:p w:rsidR="00A15E54" w:rsidRDefault="00000000">
            <w:pPr>
              <w:rPr>
                <w:rFonts w:asciiTheme="minorHAnsi" w:hAnsiTheme="minorHAnsi" w:cstheme="minorHAnsi"/>
                <w:bCs/>
                <w:sz w:val="22"/>
                <w:szCs w:val="22"/>
              </w:rPr>
            </w:pPr>
            <w:r>
              <w:rPr>
                <w:rFonts w:asciiTheme="minorHAnsi" w:hAnsiTheme="minorHAnsi" w:cstheme="minorHAnsi"/>
                <w:bCs/>
                <w:sz w:val="22"/>
                <w:szCs w:val="22"/>
              </w:rPr>
              <w:t xml:space="preserve">Poza wspólnym mianownikiem, jakim jest osoba Fryderyka Chopina, oba obszary mają bardzo niewiele wspólnego. Korzystają z innych typów danych, wymagają innych kompetencji zespołów projektowych, wykorzystują odmienne </w:t>
            </w:r>
            <w:r>
              <w:rPr>
                <w:rFonts w:asciiTheme="minorHAnsi" w:hAnsiTheme="minorHAnsi" w:cstheme="minorHAnsi"/>
                <w:bCs/>
                <w:sz w:val="22"/>
                <w:szCs w:val="22"/>
              </w:rPr>
              <w:lastRenderedPageBreak/>
              <w:t>technologie oraz odpowiadają na potrzeby różnych grup odbiorców. Platforma VOD jest przede wszystkim usługą medialną i popularyzacyjną, natomiast repozytorium korespondencji jest specjalistycznym narzędziem badawczym. O ile użytkownik zainteresowany nagraniami koncertów może nigdy nie korzystać z cyfrowego korpusu korespondencji, o tyle badacz pracujący nad listami Chopina może nie mieć żadnej potrzeby korzystania z funkcjonalności VOD.</w:t>
            </w:r>
          </w:p>
          <w:p w:rsidR="00A15E54" w:rsidRDefault="00000000">
            <w:pPr>
              <w:rPr>
                <w:rFonts w:asciiTheme="minorHAnsi" w:hAnsiTheme="minorHAnsi" w:cstheme="minorHAnsi"/>
                <w:bCs/>
                <w:sz w:val="22"/>
                <w:szCs w:val="22"/>
              </w:rPr>
            </w:pPr>
            <w:r>
              <w:rPr>
                <w:rFonts w:asciiTheme="minorHAnsi" w:hAnsiTheme="minorHAnsi" w:cstheme="minorHAnsi"/>
                <w:bCs/>
                <w:sz w:val="22"/>
                <w:szCs w:val="22"/>
              </w:rPr>
              <w:t>Nie przedstawiono przekonującej analizy efektu synergii pomiędzy tymi dwoma komponentami. Brakuje także uzasadnienia wskazującego, dlaczego budowa platformy VOD jest uzależniona od opracowania korespondencji lub odwrotnie.</w:t>
            </w:r>
          </w:p>
        </w:tc>
        <w:tc>
          <w:tcPr>
            <w:tcW w:w="1984"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lastRenderedPageBreak/>
              <w:t>Proszę o analizę i wyjaśnienie lub korektę opisu założeń</w:t>
            </w:r>
          </w:p>
        </w:tc>
        <w:tc>
          <w:tcPr>
            <w:tcW w:w="2919" w:type="dxa"/>
          </w:tcPr>
          <w:p w:rsidR="00A15E54" w:rsidRDefault="00000000">
            <w:pPr>
              <w:rPr>
                <w:rFonts w:ascii="AppleSystemUIFont" w:hAnsi="AppleSystemUIFont" w:cs="AppleSystemUIFont"/>
                <w:sz w:val="22"/>
                <w:szCs w:val="22"/>
              </w:rPr>
            </w:pPr>
            <w:r>
              <w:rPr>
                <w:rFonts w:ascii="AppleSystemUIFont" w:hAnsi="AppleSystemUIFont" w:cs="AppleSystemUIFont"/>
                <w:sz w:val="22"/>
                <w:szCs w:val="22"/>
              </w:rPr>
              <w:t>Wyjaśnienie poniżej, uwzględniono także w pkt. 1.1.</w:t>
            </w:r>
          </w:p>
          <w:p w:rsidR="00A15E54" w:rsidRDefault="00A15E54">
            <w:pPr>
              <w:rPr>
                <w:rFonts w:ascii="AppleSystemUIFont" w:hAnsi="AppleSystemUIFont" w:cs="AppleSystemUIFont"/>
                <w:sz w:val="22"/>
                <w:szCs w:val="22"/>
              </w:rPr>
            </w:pPr>
          </w:p>
          <w:p w:rsidR="00A15E54" w:rsidRDefault="00000000">
            <w:pPr>
              <w:rPr>
                <w:rFonts w:ascii="AppleSystemUIFont" w:hAnsi="AppleSystemUIFont" w:cs="AppleSystemUIFont"/>
                <w:b/>
                <w:bCs/>
                <w:sz w:val="22"/>
                <w:szCs w:val="22"/>
              </w:rPr>
            </w:pPr>
            <w:r>
              <w:rPr>
                <w:rFonts w:ascii="AppleSystemUIFont" w:hAnsi="AppleSystemUIFont" w:cs="AppleSystemUIFont"/>
                <w:sz w:val="22"/>
                <w:szCs w:val="22"/>
              </w:rPr>
              <w:t xml:space="preserve">Projekt istotnie obejmuje dwa odrębne komponenty związane z osobą Fryderyka Chopina. Nie jest jednak połączeniem niezależnych produktów cyfrowych, lecz przedsięwzięciem służącym opracowaniu, integracji i udostępnieniu komplementarnych zasobów naukowych, obejmujących różne typy materiałów źródłowych i dokumentacyjnych. Zarówno korespondencja Fryderyka Chopina, jak i materiały audiowizualne dokumentujące wykonania jego dzieł, działalność artystyczną, wydarzenia naukowe, edukacyjne i popularyzatorskie stanowią elementy </w:t>
            </w:r>
            <w:r>
              <w:rPr>
                <w:rFonts w:ascii="AppleSystemUIFont" w:hAnsi="AppleSystemUIFont" w:cs="AppleSystemUIFont"/>
                <w:b/>
                <w:bCs/>
                <w:sz w:val="22"/>
                <w:szCs w:val="22"/>
              </w:rPr>
              <w:t xml:space="preserve">jednego </w:t>
            </w:r>
            <w:r>
              <w:rPr>
                <w:rFonts w:ascii="AppleSystemUIFont" w:hAnsi="AppleSystemUIFont" w:cs="AppleSystemUIFont"/>
                <w:b/>
                <w:bCs/>
                <w:sz w:val="22"/>
                <w:szCs w:val="22"/>
              </w:rPr>
              <w:lastRenderedPageBreak/>
              <w:t>ekosystemu wiedzy, wykorzystywanego przez środowisko naukowe, edukacyjne i kulturalne.</w:t>
            </w:r>
          </w:p>
          <w:p w:rsidR="00A15E54" w:rsidRDefault="00000000">
            <w:pPr>
              <w:rPr>
                <w:rFonts w:ascii="AppleSystemUIFont" w:hAnsi="AppleSystemUIFont" w:cs="AppleSystemUIFont"/>
                <w:sz w:val="22"/>
                <w:szCs w:val="22"/>
              </w:rPr>
            </w:pPr>
            <w:r>
              <w:rPr>
                <w:rFonts w:ascii="AppleSystemUIFont" w:hAnsi="AppleSystemUIFont" w:cs="AppleSystemUIFont"/>
                <w:sz w:val="22"/>
                <w:szCs w:val="22"/>
              </w:rPr>
              <w:t>W ramach projektu integrowane są zasoby o różnej formie, jednak odnoszące się do wspólnego obszaru badawczego. W praktyce badań humanistycznych, a szczególnie badań chopinologicznych, poszczególne kategorie źródeł nie funkcjonują w izolacji. Muzykolodzy, historycy kultury, badacze recepcji twórczości Chopina, autorzy publikacji naukowych, kuratorzy wystaw oraz twórcy materiałów edukacyjnych korzystają równolegle z korespondencji, dokumentów archiwalnych, materiałów ikonograficznych, nagrań audiowizualnych, dokumentacji wydarzeń artystycznych oraz innych źródeł związanych z kompozytorem. Założenie o całkowicie rozłącznych grupach użytkowników nie odzwierciedla zatem rzeczywistych sposobów wykorzystania zasobów nauki.</w:t>
            </w:r>
          </w:p>
          <w:p w:rsidR="00A15E54" w:rsidRDefault="00000000">
            <w:pPr>
              <w:rPr>
                <w:rFonts w:ascii="AppleSystemUIFont" w:hAnsi="AppleSystemUIFont" w:cs="AppleSystemUIFont"/>
                <w:sz w:val="22"/>
                <w:szCs w:val="22"/>
              </w:rPr>
            </w:pPr>
            <w:r>
              <w:rPr>
                <w:rFonts w:ascii="AppleSystemUIFont" w:hAnsi="AppleSystemUIFont" w:cs="AppleSystemUIFont"/>
                <w:sz w:val="22"/>
                <w:szCs w:val="22"/>
              </w:rPr>
              <w:lastRenderedPageBreak/>
              <w:t>Efekt synergii pomiędzy komponentami projektu nie wynika z identyczności technologii, lecz ze wspólnego modelu informacji i wspólnego kontekstu badawczego. Projekt zakłada tworzenie i udostępnianie zasobów w sposób umożliwiający ich wzajemne powiązanie poprzez osoby, miejsca, wydarzenia, utwory oraz relacje historyczne. Dzięki temu użytkownik zainteresowany określonym zagadnieniem badawczym otrzymuje możliwość dotarcia do powiązanych zasobów niezależnie od ich formatu, co znacząco zwiększa wartość poznawczą i potencjał badawczy udostępnianych materiałów.</w:t>
            </w:r>
          </w:p>
          <w:p w:rsidR="00A15E54" w:rsidRDefault="00000000">
            <w:pPr>
              <w:rPr>
                <w:rFonts w:ascii="AppleSystemUIFont" w:hAnsi="AppleSystemUIFont" w:cs="AppleSystemUIFont"/>
                <w:sz w:val="22"/>
                <w:szCs w:val="22"/>
              </w:rPr>
            </w:pPr>
            <w:r>
              <w:rPr>
                <w:rFonts w:ascii="AppleSystemUIFont" w:hAnsi="AppleSystemUIFont" w:cs="AppleSystemUIFont"/>
                <w:sz w:val="22"/>
                <w:szCs w:val="22"/>
              </w:rPr>
              <w:t xml:space="preserve">Wspólna realizacja projektu umożliwia również wykorzystanie jednolitego środowiska zarządzania zasobami, wspólnych mechanizmów opisu danych, wyszukiwania, archiwizacji, zapewnienia jakości, dostępności cyfrowej, interoperacyjności oraz trwałości rezultatów. Pozwala to uniknąć powielania rozwiązań organizacyjnych i </w:t>
            </w:r>
            <w:r>
              <w:rPr>
                <w:rFonts w:ascii="AppleSystemUIFont" w:hAnsi="AppleSystemUIFont" w:cs="AppleSystemUIFont"/>
                <w:sz w:val="22"/>
                <w:szCs w:val="22"/>
              </w:rPr>
              <w:lastRenderedPageBreak/>
              <w:t xml:space="preserve">technologicznych oraz zapewnia spójny sposób udostępniania zasobów nauki użytkownikom końcowym. Nie możemy się zgodzić, że zasoby VOD nie trafiają do specjalistycznego odbiorcy, nie są materiałem naukowym, podlegającym badaniu! </w:t>
            </w:r>
          </w:p>
          <w:p w:rsidR="00A15E54" w:rsidRDefault="00000000">
            <w:pPr>
              <w:rPr>
                <w:rFonts w:ascii="AppleSystemUIFont" w:hAnsi="AppleSystemUIFont" w:cs="AppleSystemUIFont"/>
                <w:sz w:val="22"/>
                <w:szCs w:val="22"/>
              </w:rPr>
            </w:pPr>
            <w:r>
              <w:rPr>
                <w:rFonts w:ascii="AppleSystemUIFont" w:hAnsi="AppleSystemUIFont" w:cs="AppleSystemUIFont"/>
                <w:sz w:val="22"/>
                <w:szCs w:val="22"/>
              </w:rPr>
              <w:t xml:space="preserve">Tak opracowane materiały, ich bezprecedensowe potraktowanie w zakresie jakości digitalizacji i udostępnienia oraz opracowania (jak zakłada to projekt) stanowić mogą repozytorium cyfrowe służące np. do badań wykonawstwa, instrumentów, konkretnych </w:t>
            </w:r>
            <w:proofErr w:type="spellStart"/>
            <w:r>
              <w:rPr>
                <w:rFonts w:ascii="AppleSystemUIFont" w:hAnsi="AppleSystemUIFont" w:cs="AppleSystemUIFont"/>
                <w:sz w:val="22"/>
                <w:szCs w:val="22"/>
              </w:rPr>
              <w:t>wykonań</w:t>
            </w:r>
            <w:proofErr w:type="spellEnd"/>
            <w:r>
              <w:rPr>
                <w:rFonts w:ascii="AppleSystemUIFont" w:hAnsi="AppleSystemUIFont" w:cs="AppleSystemUIFont"/>
                <w:sz w:val="22"/>
                <w:szCs w:val="22"/>
              </w:rPr>
              <w:t xml:space="preserve"> z uwzględnieniem gatunku, kraju, kontekstu konkursowego lub jego braku (by wymienić choćby kilka potencjałów badawczych).</w:t>
            </w:r>
          </w:p>
          <w:p w:rsidR="00A15E54" w:rsidRDefault="00000000">
            <w:pPr>
              <w:rPr>
                <w:rFonts w:ascii="AppleSystemUIFont" w:hAnsi="AppleSystemUIFont" w:cs="AppleSystemUIFont"/>
                <w:sz w:val="22"/>
                <w:szCs w:val="22"/>
              </w:rPr>
            </w:pPr>
            <w:r>
              <w:rPr>
                <w:rFonts w:ascii="AppleSystemUIFont" w:hAnsi="AppleSystemUIFont" w:cs="AppleSystemUIFont"/>
                <w:sz w:val="22"/>
                <w:szCs w:val="22"/>
              </w:rPr>
              <w:t xml:space="preserve">Naszym celem nie jest przecież budowa platformy VOD jako samodzielnej usługi medialnej ani stworzenie odrębnego repozytorium korespondencji jako autonomicznego narzędzia badawczego. Celem projektu jest stworzenie zintegrowanego środowiska udostępniania zasobów nauki, </w:t>
            </w:r>
            <w:r>
              <w:rPr>
                <w:rFonts w:ascii="AppleSystemUIFont" w:hAnsi="AppleSystemUIFont" w:cs="AppleSystemUIFont"/>
                <w:sz w:val="22"/>
                <w:szCs w:val="22"/>
              </w:rPr>
              <w:lastRenderedPageBreak/>
              <w:t>obejmującego różne kategorie materiałów związanych z Fryderykiem Chopinem i jego dziedzictwem, zgodnie z celami FERC dotyczącymi zwiększania dostępności, interoperacyjności oraz możliwości ponownego wykorzystania zasobów cyfrowych.</w:t>
            </w:r>
          </w:p>
          <w:p w:rsidR="00A15E54" w:rsidRDefault="00000000">
            <w:pPr>
              <w:rPr>
                <w:rFonts w:ascii="AppleSystemUIFont" w:hAnsi="AppleSystemUIFont" w:cs="AppleSystemUIFont"/>
                <w:sz w:val="22"/>
                <w:szCs w:val="22"/>
              </w:rPr>
            </w:pPr>
            <w:r>
              <w:rPr>
                <w:rFonts w:ascii="AppleSystemUIFont" w:hAnsi="AppleSystemUIFont" w:cs="AppleSystemUIFont"/>
                <w:sz w:val="22"/>
                <w:szCs w:val="22"/>
              </w:rPr>
              <w:t xml:space="preserve">W tym kontekście wspólnym mianownikiem projektu nie jest wyłącznie osoba Fryderyka Chopina, lecz budowa jednolitego, </w:t>
            </w:r>
            <w:proofErr w:type="spellStart"/>
            <w:r>
              <w:rPr>
                <w:rFonts w:ascii="AppleSystemUIFont" w:hAnsi="AppleSystemUIFont" w:cs="AppleSystemUIFont"/>
                <w:sz w:val="22"/>
                <w:szCs w:val="22"/>
              </w:rPr>
              <w:t>interoperacyjnego</w:t>
            </w:r>
            <w:proofErr w:type="spellEnd"/>
            <w:r>
              <w:rPr>
                <w:rFonts w:ascii="AppleSystemUIFont" w:hAnsi="AppleSystemUIFont" w:cs="AppleSystemUIFont"/>
                <w:sz w:val="22"/>
                <w:szCs w:val="22"/>
              </w:rPr>
              <w:t xml:space="preserve"> zasobu naukowego, w którym różne kategorie materiałów wzajemnie się uzupełniają, tworząc nową wartość dla badań naukowych, edukacji oraz upowszechniania dziedzictwa kulturowego.</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Uwaga ogólna</w:t>
            </w:r>
          </w:p>
        </w:tc>
        <w:tc>
          <w:tcPr>
            <w:tcW w:w="7371" w:type="dxa"/>
          </w:tcPr>
          <w:p w:rsidR="00A15E54" w:rsidRDefault="00000000">
            <w:pPr>
              <w:rPr>
                <w:rFonts w:asciiTheme="minorHAnsi" w:hAnsiTheme="minorHAnsi" w:cstheme="minorHAnsi"/>
                <w:bCs/>
                <w:sz w:val="22"/>
                <w:szCs w:val="22"/>
              </w:rPr>
            </w:pPr>
            <w:r>
              <w:rPr>
                <w:rFonts w:asciiTheme="minorHAnsi" w:hAnsiTheme="minorHAnsi" w:cstheme="minorHAnsi"/>
                <w:bCs/>
                <w:sz w:val="22"/>
                <w:szCs w:val="22"/>
              </w:rPr>
              <w:t>Wnioskodawca zamierza udostępnić materiały i nagrania audiowizualne związane m.in. z Konkursem Chopinowskim, w tym wywiady, koncerty i materiały popularyzatorskie z konferencji naukowych. Wydaje się, że w większości mogą to być materiały przygotowywane przez Telewizję Polską.</w:t>
            </w:r>
          </w:p>
          <w:p w:rsidR="00A15E54" w:rsidRDefault="00000000">
            <w:pPr>
              <w:rPr>
                <w:rFonts w:asciiTheme="minorHAnsi" w:hAnsiTheme="minorHAnsi" w:cstheme="minorHAnsi"/>
                <w:bCs/>
                <w:sz w:val="22"/>
                <w:szCs w:val="22"/>
              </w:rPr>
            </w:pPr>
            <w:r>
              <w:rPr>
                <w:rFonts w:asciiTheme="minorHAnsi" w:hAnsiTheme="minorHAnsi" w:cstheme="minorHAnsi"/>
                <w:bCs/>
                <w:sz w:val="22"/>
                <w:szCs w:val="22"/>
              </w:rPr>
              <w:t>W serwisie TVP VOD znajduje się bogata kolekcja materiałów archiwalnych, dokumentów oraz filmów poświęconych Fryderykowi Chopinowi. Dostępne produkcje obejmują zarówno archiwalne nagrania koncertów, jak i serie dokumentalne oraz biograficzne przedstawiające życie i twórczość kompozytora.</w:t>
            </w:r>
          </w:p>
          <w:p w:rsidR="00A15E54" w:rsidRDefault="00000000">
            <w:pPr>
              <w:rPr>
                <w:rFonts w:asciiTheme="minorHAnsi" w:hAnsiTheme="minorHAnsi" w:cstheme="minorHAnsi"/>
                <w:bCs/>
                <w:sz w:val="22"/>
                <w:szCs w:val="22"/>
              </w:rPr>
            </w:pPr>
            <w:r>
              <w:rPr>
                <w:rFonts w:asciiTheme="minorHAnsi" w:hAnsiTheme="minorHAnsi" w:cstheme="minorHAnsi"/>
                <w:bCs/>
                <w:sz w:val="22"/>
                <w:szCs w:val="22"/>
              </w:rPr>
              <w:t>Wydaje się, że istnieje możliwość zweryfikowania, czy materiały proponowane do digitalizacji przez NIFC nie są już udostępniane w formie cyfrowej na platformie TVP VOD.</w:t>
            </w:r>
          </w:p>
        </w:tc>
        <w:tc>
          <w:tcPr>
            <w:tcW w:w="1984"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Proszę o analizę, wyjaśnienie lub/i korektę opisu założeń</w:t>
            </w:r>
          </w:p>
        </w:tc>
        <w:tc>
          <w:tcPr>
            <w:tcW w:w="2919" w:type="dxa"/>
          </w:tcPr>
          <w:p w:rsidR="00A15E54" w:rsidRDefault="00000000">
            <w:pPr>
              <w:rPr>
                <w:rFonts w:asciiTheme="minorHAnsi" w:hAnsiTheme="minorHAnsi" w:cstheme="minorHAnsi"/>
                <w:sz w:val="22"/>
                <w:szCs w:val="22"/>
              </w:rPr>
            </w:pPr>
            <w:r>
              <w:rPr>
                <w:rFonts w:asciiTheme="minorHAnsi" w:hAnsiTheme="minorHAnsi" w:cstheme="minorHAnsi"/>
                <w:sz w:val="22"/>
                <w:szCs w:val="22"/>
              </w:rPr>
              <w:t xml:space="preserve">Projekt dotyczy przede wszystkim digitalizacji, opracowania oraz udostępnienia materiałów własnych NIFC jako ustrukturyzowanego zasobu nauki. Wiele nagrań znajdujących się w zasobach NIFC nie jest udostępnianych publicznie lub funkcjonuje jedynie w ograniczonym zakresie. Dotyczy to m.in. </w:t>
            </w:r>
            <w:r>
              <w:rPr>
                <w:rFonts w:asciiTheme="minorHAnsi" w:hAnsiTheme="minorHAnsi" w:cstheme="minorHAnsi"/>
                <w:sz w:val="22"/>
                <w:szCs w:val="22"/>
              </w:rPr>
              <w:lastRenderedPageBreak/>
              <w:t xml:space="preserve">materiałów dokumentacyjnych, wywiadów, wybranych nagrań konkursowych, rejestracji wydarzeń, konferencji, wykładów i innych zasobów o wartości badawczej. Kluczową wartością projektu nie jest samo udostępnienie pliku wideo, ale jego opracowanie. Każdy obiekt zostanie wzbogacony o szczegółowe metadane, transkrypcje, tłumaczenia, opisy merytoryczne, identyfikację osób, utworów, wydarzeń i miejsc oraz powiązania z innymi zasobami znajdującymi się w ekosystemie cyfrowym NIFC. Dzięki temu użytkownik będzie mógł nie tylko obejrzeć nagranie, ale także wyszukiwać konkretne informacje w jego treści, porównywać materiały, analizować ich zawartość i budować własne zestawienia porównawcze. Tylko tak opracowany zasób, może stanowić narzędzie tak medialne (o jakich pisze autor lub autorka uwagi), ale także naukowe, dające możliwość zestawienia użytkowników, </w:t>
            </w:r>
            <w:proofErr w:type="spellStart"/>
            <w:r>
              <w:rPr>
                <w:rFonts w:asciiTheme="minorHAnsi" w:hAnsiTheme="minorHAnsi" w:cstheme="minorHAnsi"/>
                <w:sz w:val="22"/>
                <w:szCs w:val="22"/>
              </w:rPr>
              <w:lastRenderedPageBreak/>
              <w:t>wykonań</w:t>
            </w:r>
            <w:proofErr w:type="spellEnd"/>
            <w:r>
              <w:rPr>
                <w:rFonts w:asciiTheme="minorHAnsi" w:hAnsiTheme="minorHAnsi" w:cstheme="minorHAnsi"/>
                <w:sz w:val="22"/>
                <w:szCs w:val="22"/>
              </w:rPr>
              <w:t xml:space="preserve"> poszczególnych gatunków, instrumentów, technik itp. </w:t>
            </w:r>
          </w:p>
          <w:p w:rsidR="00A15E54" w:rsidRDefault="00000000">
            <w:pPr>
              <w:rPr>
                <w:rFonts w:asciiTheme="minorHAnsi" w:hAnsiTheme="minorHAnsi" w:cstheme="minorHAnsi"/>
                <w:sz w:val="22"/>
                <w:szCs w:val="22"/>
              </w:rPr>
            </w:pPr>
            <w:r>
              <w:rPr>
                <w:rFonts w:asciiTheme="minorHAnsi" w:hAnsiTheme="minorHAnsi" w:cstheme="minorHAnsi"/>
                <w:sz w:val="22"/>
                <w:szCs w:val="22"/>
              </w:rPr>
              <w:t xml:space="preserve">Dostępne platformy VOD (w tym </w:t>
            </w:r>
            <w:proofErr w:type="spellStart"/>
            <w:r>
              <w:rPr>
                <w:rFonts w:asciiTheme="minorHAnsi" w:hAnsiTheme="minorHAnsi" w:cstheme="minorHAnsi"/>
                <w:sz w:val="22"/>
                <w:szCs w:val="22"/>
              </w:rPr>
              <w:t>platoforma</w:t>
            </w:r>
            <w:proofErr w:type="spellEnd"/>
            <w:r>
              <w:rPr>
                <w:rFonts w:asciiTheme="minorHAnsi" w:hAnsiTheme="minorHAnsi" w:cstheme="minorHAnsi"/>
                <w:sz w:val="22"/>
                <w:szCs w:val="22"/>
              </w:rPr>
              <w:t xml:space="preserve"> TVP) służą przede wszystkim do odtwarzania materiałów audiowizualnych. Nie umożliwiają zaawansowanego przeszukiwania treści nagrań, wyszukiwania fragmentów, nie zawierają dostępnych wystąpień poszczególnych uczestników Konkursów Chopinowskich, nie udostępniają materiałów kontekstowych, brak wypowiedzi w transkrypcjach, możliwości porównywania interpretacji wykonawczych, tworzenia list porównawczych ani analizowania relacji pomiędzy osobami, utworami, wydarzeniami i dokumentami. Projektowana infrastruktura będzie oferowała właśnie takie funkcjonalności. Ponowna digitalizacja dotyczy tylko materiałów, które wymagają naprawy jakości dźwięku, w tym zastosowanie dźwięku przestrzennego i naprawy uszkodzonych nagrań wideo materiałów audiowizualnych. Zasoby </w:t>
            </w:r>
            <w:r>
              <w:rPr>
                <w:rFonts w:asciiTheme="minorHAnsi" w:hAnsiTheme="minorHAnsi" w:cstheme="minorHAnsi"/>
                <w:sz w:val="22"/>
                <w:szCs w:val="22"/>
              </w:rPr>
              <w:lastRenderedPageBreak/>
              <w:t xml:space="preserve">zostaną przygotowane zgodnie ze współczesnymi standardami jakości, interoperacyjności i opisu danych. Takie opracowanie materiałów nie jest możliwe w przypadku zasobów funkcjonujących wyłącznie jako nagrania udostępniane w serwisach VOD. Projekt nie polega zatem na powielaniu istniejących zasobów cyfrowych, lecz na przekształceniu rozproszonych materiałów audiowizualnych w kompleksowy, </w:t>
            </w:r>
            <w:proofErr w:type="spellStart"/>
            <w:r>
              <w:rPr>
                <w:rFonts w:asciiTheme="minorHAnsi" w:hAnsiTheme="minorHAnsi" w:cstheme="minorHAnsi"/>
                <w:sz w:val="22"/>
                <w:szCs w:val="22"/>
              </w:rPr>
              <w:t>przeszukiwalny</w:t>
            </w:r>
            <w:proofErr w:type="spellEnd"/>
            <w:r>
              <w:rPr>
                <w:rFonts w:asciiTheme="minorHAnsi" w:hAnsiTheme="minorHAnsi" w:cstheme="minorHAnsi"/>
                <w:sz w:val="22"/>
                <w:szCs w:val="22"/>
              </w:rPr>
              <w:t>, opisany i gotowy do ponownego wykorzystania zasób wiedzy o trwałej wartości naukowej, edukacyjnej i kulturowej.</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Uwaga ogólna</w:t>
            </w:r>
          </w:p>
        </w:tc>
        <w:tc>
          <w:tcPr>
            <w:tcW w:w="7371" w:type="dxa"/>
          </w:tcPr>
          <w:p w:rsidR="00A15E54" w:rsidRDefault="00000000">
            <w:pPr>
              <w:rPr>
                <w:rFonts w:asciiTheme="minorHAnsi" w:hAnsiTheme="minorHAnsi" w:cstheme="minorHAnsi"/>
                <w:sz w:val="22"/>
                <w:szCs w:val="22"/>
              </w:rPr>
            </w:pPr>
            <w:r>
              <w:rPr>
                <w:rFonts w:asciiTheme="minorHAnsi" w:hAnsiTheme="minorHAnsi" w:cstheme="minorHAnsi"/>
                <w:bCs/>
                <w:sz w:val="22"/>
                <w:szCs w:val="22"/>
              </w:rPr>
              <w:t>Skróty, które występują w dokumencie się po raz pierwszy należy wyjaśnić, np. „Narodowy Instytut Fryderyka Chopina (dalej: NIFC)”.</w:t>
            </w:r>
          </w:p>
        </w:tc>
        <w:tc>
          <w:tcPr>
            <w:tcW w:w="1984"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Proszę o analizę i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Uwzględniono uwagę w korekcie OZPI</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1.1. Identyfikacja problemu i potrzeb</w:t>
            </w:r>
          </w:p>
        </w:tc>
        <w:tc>
          <w:tcPr>
            <w:tcW w:w="7371" w:type="dxa"/>
          </w:tcPr>
          <w:p w:rsidR="00A15E54" w:rsidRDefault="00000000">
            <w:pPr>
              <w:rPr>
                <w:rFonts w:ascii="Calibri" w:hAnsi="Calibri" w:cs="Calibri"/>
                <w:sz w:val="22"/>
                <w:szCs w:val="22"/>
              </w:rPr>
            </w:pPr>
            <w:r>
              <w:rPr>
                <w:rFonts w:ascii="Calibri" w:hAnsi="Calibri" w:cs="Calibri"/>
                <w:sz w:val="22"/>
                <w:szCs w:val="22"/>
              </w:rPr>
              <w:t>W tym punkcie należy:</w:t>
            </w:r>
          </w:p>
          <w:p w:rsidR="00A15E54" w:rsidRDefault="00000000">
            <w:pPr>
              <w:pStyle w:val="Akapitzlist"/>
              <w:numPr>
                <w:ilvl w:val="0"/>
                <w:numId w:val="5"/>
              </w:numPr>
              <w:rPr>
                <w:rFonts w:ascii="Calibri" w:hAnsi="Calibri" w:cs="Calibri"/>
                <w:sz w:val="22"/>
                <w:szCs w:val="22"/>
              </w:rPr>
            </w:pPr>
            <w:r>
              <w:rPr>
                <w:rFonts w:ascii="Calibri" w:hAnsi="Calibri" w:cs="Calibri"/>
                <w:sz w:val="22"/>
                <w:szCs w:val="22"/>
              </w:rPr>
              <w:t>wyjaśnić wszystkie zagadnienia, o których mowa w celu przedsięwzięcia i wyjaśnić czym są produkty, o których w mowa w pkt 2.2-2.4;</w:t>
            </w:r>
          </w:p>
          <w:p w:rsidR="00A15E54" w:rsidRDefault="00000000">
            <w:pPr>
              <w:pStyle w:val="Akapitzlist"/>
              <w:numPr>
                <w:ilvl w:val="0"/>
                <w:numId w:val="5"/>
              </w:numPr>
              <w:rPr>
                <w:rFonts w:ascii="Calibri" w:hAnsi="Calibri" w:cs="Calibri"/>
                <w:sz w:val="22"/>
                <w:szCs w:val="22"/>
              </w:rPr>
            </w:pPr>
            <w:r>
              <w:rPr>
                <w:rFonts w:ascii="Calibri" w:hAnsi="Calibri" w:cs="Calibri"/>
                <w:sz w:val="22"/>
                <w:szCs w:val="22"/>
              </w:rPr>
              <w:t>opisać jak produkty niniejszego przedsięwzięcia wpływają na problemy i braki, z którymi w obecnym stanie borykają się interesariusze nie mając ich do dyspozycji, wyjaśniając budowę nowych lub modyfikację, np. systemów teleinformatycznych lub ich modułów, rejestrów, e-usług, API.</w:t>
            </w:r>
          </w:p>
          <w:p w:rsidR="00A15E54" w:rsidRDefault="00000000">
            <w:pPr>
              <w:rPr>
                <w:rFonts w:ascii="Calibri" w:hAnsi="Calibri" w:cs="Calibri"/>
                <w:sz w:val="22"/>
                <w:szCs w:val="22"/>
              </w:rPr>
            </w:pPr>
            <w:r>
              <w:rPr>
                <w:rFonts w:ascii="Calibri" w:hAnsi="Calibri" w:cs="Calibri"/>
                <w:sz w:val="22"/>
                <w:szCs w:val="22"/>
              </w:rPr>
              <w:t>Istnienie rozbieżności między stanem istniejącym a oczekiwanym decyduje bowiem o zasadności realizacji projektu.</w:t>
            </w:r>
          </w:p>
          <w:p w:rsidR="00A15E54" w:rsidRDefault="00A15E54">
            <w:pPr>
              <w:rPr>
                <w:rFonts w:ascii="Calibri" w:hAnsi="Calibri" w:cs="Calibri"/>
                <w:sz w:val="22"/>
                <w:szCs w:val="22"/>
              </w:rPr>
            </w:pPr>
          </w:p>
          <w:p w:rsidR="00A15E54" w:rsidRDefault="00000000">
            <w:pPr>
              <w:rPr>
                <w:rFonts w:asciiTheme="minorHAnsi" w:hAnsiTheme="minorHAnsi" w:cstheme="minorHAnsi"/>
                <w:sz w:val="22"/>
                <w:szCs w:val="22"/>
              </w:rPr>
            </w:pPr>
            <w:r>
              <w:rPr>
                <w:rFonts w:ascii="Calibri" w:hAnsi="Calibri" w:cs="Calibri"/>
                <w:sz w:val="22"/>
                <w:szCs w:val="22"/>
              </w:rPr>
              <w:lastRenderedPageBreak/>
              <w:t xml:space="preserve">Informacje w części opisowej nie powinny powtarzać się w tabeli dot. interesariuszy w kolumnie „Zidentyfikowany problem” ani w pkt. 1.2. </w:t>
            </w:r>
          </w:p>
        </w:tc>
        <w:tc>
          <w:tcPr>
            <w:tcW w:w="1984"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lastRenderedPageBreak/>
              <w:t>Proszę o analizę i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Uwzględniono uwagę w korekcie 1.1.</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1.1. Identyfikacja problemu i potrzeb</w:t>
            </w:r>
          </w:p>
        </w:tc>
        <w:tc>
          <w:tcPr>
            <w:tcW w:w="7371" w:type="dxa"/>
          </w:tcPr>
          <w:p w:rsidR="00A15E54" w:rsidRDefault="00000000">
            <w:pPr>
              <w:rPr>
                <w:rFonts w:asciiTheme="minorHAnsi" w:hAnsiTheme="minorHAnsi" w:cstheme="minorHAnsi"/>
                <w:sz w:val="22"/>
                <w:szCs w:val="22"/>
              </w:rPr>
            </w:pPr>
            <w:r>
              <w:rPr>
                <w:rFonts w:asciiTheme="minorHAnsi" w:hAnsiTheme="minorHAnsi" w:cstheme="minorHAnsi"/>
                <w:sz w:val="22"/>
                <w:szCs w:val="22"/>
              </w:rPr>
              <w:t>W tabeli interesariuszy należy:</w:t>
            </w:r>
          </w:p>
          <w:p w:rsidR="00A15E54" w:rsidRDefault="00000000">
            <w:pPr>
              <w:pStyle w:val="Akapitzlist"/>
              <w:numPr>
                <w:ilvl w:val="0"/>
                <w:numId w:val="6"/>
              </w:numPr>
              <w:rPr>
                <w:rFonts w:asciiTheme="minorHAnsi" w:hAnsiTheme="minorHAnsi" w:cstheme="minorHAnsi"/>
                <w:sz w:val="22"/>
                <w:szCs w:val="22"/>
              </w:rPr>
            </w:pPr>
            <w:r>
              <w:rPr>
                <w:rFonts w:asciiTheme="minorHAnsi" w:hAnsiTheme="minorHAnsi" w:cstheme="minorHAnsi"/>
                <w:sz w:val="22"/>
                <w:szCs w:val="22"/>
              </w:rPr>
              <w:t>dodać do interesariuszy Wnioskodawcę, tj. Ministra Kultury i Dziedzictwa Narodowego i pracowników jego urzędu lub instytucję Wnioskodawcy;</w:t>
            </w:r>
          </w:p>
          <w:p w:rsidR="00A15E54" w:rsidRDefault="00000000">
            <w:pPr>
              <w:pStyle w:val="Akapitzlist"/>
              <w:numPr>
                <w:ilvl w:val="0"/>
                <w:numId w:val="6"/>
              </w:numPr>
              <w:rPr>
                <w:rFonts w:asciiTheme="minorHAnsi" w:hAnsiTheme="minorHAnsi" w:cstheme="minorHAnsi"/>
                <w:sz w:val="22"/>
                <w:szCs w:val="22"/>
              </w:rPr>
            </w:pPr>
            <w:r>
              <w:rPr>
                <w:rFonts w:asciiTheme="minorHAnsi" w:hAnsiTheme="minorHAnsi" w:cstheme="minorHAnsi"/>
                <w:sz w:val="22"/>
                <w:szCs w:val="22"/>
              </w:rPr>
              <w:t>skorygować niepełną nazwę grupy „zaawansowanych technologii, sektora kreatywnego oraz AI”.</w:t>
            </w:r>
          </w:p>
          <w:p w:rsidR="00A15E54" w:rsidRDefault="00000000">
            <w:pPr>
              <w:pStyle w:val="Akapitzlist"/>
              <w:numPr>
                <w:ilvl w:val="0"/>
                <w:numId w:val="6"/>
              </w:numPr>
              <w:rPr>
                <w:rFonts w:asciiTheme="minorHAnsi" w:hAnsiTheme="minorHAnsi" w:cstheme="minorHAnsi"/>
                <w:sz w:val="22"/>
                <w:szCs w:val="22"/>
              </w:rPr>
            </w:pPr>
            <w:r>
              <w:rPr>
                <w:rFonts w:asciiTheme="minorHAnsi" w:hAnsiTheme="minorHAnsi" w:cstheme="minorHAnsi"/>
                <w:sz w:val="22"/>
                <w:szCs w:val="22"/>
              </w:rPr>
              <w:t>w kolumnie zidentyfikowany problem, należy skupić się na problemach:</w:t>
            </w:r>
          </w:p>
          <w:p w:rsidR="00A15E54" w:rsidRDefault="00000000">
            <w:pPr>
              <w:pStyle w:val="Akapitzlist"/>
              <w:numPr>
                <w:ilvl w:val="1"/>
                <w:numId w:val="6"/>
              </w:numPr>
              <w:jc w:val="both"/>
              <w:rPr>
                <w:rFonts w:asciiTheme="minorHAnsi" w:hAnsiTheme="minorHAnsi" w:cstheme="minorHAnsi"/>
                <w:sz w:val="22"/>
                <w:szCs w:val="22"/>
              </w:rPr>
            </w:pPr>
            <w:r>
              <w:rPr>
                <w:rFonts w:asciiTheme="minorHAnsi" w:hAnsiTheme="minorHAnsi" w:cstheme="minorHAnsi"/>
                <w:sz w:val="22"/>
                <w:szCs w:val="22"/>
              </w:rPr>
              <w:t>należy precyzyjnie wskazać problemy każdej grupy interesariuszy, które zostaną rozwiązane w wyniku wdrożenia produktów przedsięwzięcia,</w:t>
            </w:r>
          </w:p>
          <w:p w:rsidR="00A15E54" w:rsidRDefault="00000000">
            <w:pPr>
              <w:pStyle w:val="Akapitzlist"/>
              <w:numPr>
                <w:ilvl w:val="1"/>
                <w:numId w:val="6"/>
              </w:numPr>
              <w:jc w:val="both"/>
              <w:rPr>
                <w:rFonts w:asciiTheme="minorHAnsi" w:hAnsiTheme="minorHAnsi" w:cstheme="minorHAnsi"/>
                <w:sz w:val="22"/>
                <w:szCs w:val="22"/>
              </w:rPr>
            </w:pPr>
            <w:r>
              <w:rPr>
                <w:rFonts w:asciiTheme="minorHAnsi" w:hAnsiTheme="minorHAnsi" w:cstheme="minorHAnsi"/>
                <w:sz w:val="22"/>
                <w:szCs w:val="22"/>
              </w:rPr>
              <w:t>sugerujemy wymieniać problemy w punktach, rozpoczynając nazwy każdego problemu od sformułowań typu „brak…”, „niewystarczający…”, „</w:t>
            </w:r>
            <w:proofErr w:type="gramStart"/>
            <w:r>
              <w:rPr>
                <w:rFonts w:asciiTheme="minorHAnsi" w:hAnsiTheme="minorHAnsi" w:cstheme="minorHAnsi"/>
                <w:sz w:val="22"/>
                <w:szCs w:val="22"/>
              </w:rPr>
              <w:t>ograniczony..</w:t>
            </w:r>
            <w:proofErr w:type="gramEnd"/>
            <w:r>
              <w:rPr>
                <w:rFonts w:asciiTheme="minorHAnsi" w:hAnsiTheme="minorHAnsi" w:cstheme="minorHAnsi"/>
                <w:sz w:val="22"/>
                <w:szCs w:val="22"/>
              </w:rPr>
              <w:t>”,</w:t>
            </w:r>
          </w:p>
          <w:p w:rsidR="00A15E54" w:rsidRDefault="00000000">
            <w:pPr>
              <w:pStyle w:val="Akapitzlist"/>
              <w:numPr>
                <w:ilvl w:val="1"/>
                <w:numId w:val="6"/>
              </w:numPr>
              <w:jc w:val="both"/>
              <w:rPr>
                <w:rFonts w:asciiTheme="minorHAnsi" w:hAnsiTheme="minorHAnsi" w:cstheme="minorHAnsi"/>
                <w:sz w:val="22"/>
                <w:szCs w:val="22"/>
              </w:rPr>
            </w:pPr>
            <w:r>
              <w:rPr>
                <w:rFonts w:asciiTheme="minorHAnsi" w:hAnsiTheme="minorHAnsi" w:cstheme="minorHAnsi"/>
                <w:sz w:val="22"/>
                <w:szCs w:val="22"/>
              </w:rPr>
              <w:t>jeden problem może powtarzać się w wielu grupach interesariuszy</w:t>
            </w:r>
          </w:p>
          <w:p w:rsidR="00A15E54" w:rsidRDefault="00000000">
            <w:pPr>
              <w:pStyle w:val="Akapitzlist"/>
              <w:numPr>
                <w:ilvl w:val="1"/>
                <w:numId w:val="6"/>
              </w:numPr>
              <w:jc w:val="both"/>
              <w:rPr>
                <w:rFonts w:asciiTheme="minorHAnsi" w:hAnsiTheme="minorHAnsi" w:cstheme="minorHAnsi"/>
                <w:sz w:val="22"/>
                <w:szCs w:val="22"/>
              </w:rPr>
            </w:pPr>
            <w:r>
              <w:rPr>
                <w:rFonts w:asciiTheme="minorHAnsi" w:hAnsiTheme="minorHAnsi" w:cstheme="minorHAnsi"/>
                <w:sz w:val="22"/>
                <w:szCs w:val="22"/>
              </w:rPr>
              <w:t>dla przejrzystości pozostałe treści należy usunąć.</w:t>
            </w:r>
          </w:p>
        </w:tc>
        <w:tc>
          <w:tcPr>
            <w:tcW w:w="1984"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Proszę o analizę i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Skorygowano w OZPI</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1.1. Identyfikacja problemu i potrzeb</w:t>
            </w:r>
          </w:p>
        </w:tc>
        <w:tc>
          <w:tcPr>
            <w:tcW w:w="7371" w:type="dxa"/>
          </w:tcPr>
          <w:p w:rsidR="00A15E54" w:rsidRDefault="00000000">
            <w:pPr>
              <w:rPr>
                <w:rFonts w:asciiTheme="minorHAnsi" w:hAnsiTheme="minorHAnsi" w:cstheme="minorHAnsi"/>
                <w:sz w:val="22"/>
                <w:szCs w:val="22"/>
              </w:rPr>
            </w:pPr>
            <w:r>
              <w:rPr>
                <w:rFonts w:asciiTheme="minorHAnsi" w:hAnsiTheme="minorHAnsi" w:cstheme="minorHAnsi"/>
                <w:sz w:val="22"/>
                <w:szCs w:val="22"/>
              </w:rPr>
              <w:t>Dla grupy interesariuszy „Ośrodki medyczne oraz specjaliści z zakresu psychologii i psychiatrii” nie przedstawiono metodologii kryjącej się za wskazaną liczbą 20 000. Na dowód jej istotności w śród interesariuszy nie przedstawiono żadnych, nawet potencjalnych, dowodów na prawdopodobieństwo wykorzystania przez nich danych do potencjalnych badań, przypuszczalnych konkretnych scenariuszy badawczych. Jedynie zasygnalizowano hipotetyczną możliwość realizacji „badań nad rozwojem młodych ludzi funkcjonujących w warunkach wysokiej presji”.</w:t>
            </w:r>
          </w:p>
        </w:tc>
        <w:tc>
          <w:tcPr>
            <w:tcW w:w="1984"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Proszę o analizę zasadności tej grupy i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Uwzględniono uwagę i usunięto tę grupę interesariuszy</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1.1. Identyfikacja problemu i potrzeb</w:t>
            </w:r>
          </w:p>
        </w:tc>
        <w:tc>
          <w:tcPr>
            <w:tcW w:w="7371" w:type="dxa"/>
          </w:tcPr>
          <w:p w:rsidR="00A15E54" w:rsidRDefault="00000000">
            <w:pPr>
              <w:rPr>
                <w:rFonts w:asciiTheme="minorHAnsi" w:hAnsiTheme="minorHAnsi" w:cstheme="minorHAnsi"/>
                <w:sz w:val="22"/>
                <w:szCs w:val="22"/>
              </w:rPr>
            </w:pPr>
            <w:r>
              <w:rPr>
                <w:rFonts w:asciiTheme="minorHAnsi" w:hAnsiTheme="minorHAnsi" w:cstheme="minorHAnsi"/>
                <w:sz w:val="22"/>
                <w:szCs w:val="22"/>
              </w:rPr>
              <w:t>Grupa osoby z niepełnosprawnościami oraz o specjalnych potrzebach i wskazane dla nich "</w:t>
            </w:r>
            <w:proofErr w:type="spellStart"/>
            <w:r>
              <w:rPr>
                <w:rFonts w:asciiTheme="minorHAnsi" w:hAnsiTheme="minorHAnsi" w:cstheme="minorHAnsi"/>
                <w:sz w:val="22"/>
                <w:szCs w:val="22"/>
              </w:rPr>
              <w:t>audiodeskrypcja</w:t>
            </w:r>
            <w:proofErr w:type="spellEnd"/>
            <w:r>
              <w:rPr>
                <w:rFonts w:asciiTheme="minorHAnsi" w:hAnsiTheme="minorHAnsi" w:cstheme="minorHAnsi"/>
                <w:sz w:val="22"/>
                <w:szCs w:val="22"/>
              </w:rPr>
              <w:t>, napisy czy tłumaczenie na język migowy" sprawia wrażenie wykorzystania takiego opisu tylko dla perspektywy uzasadnienia społecznego i kulturowego, a nie rzeczywistej perspektywy projektowania usług cyfrowych i realnych potrzeb użytkowników. Brak jest jakiekolwiek potwierdzenia dla wskazanej liczby 100 000.</w:t>
            </w:r>
          </w:p>
        </w:tc>
        <w:tc>
          <w:tcPr>
            <w:tcW w:w="1984"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Proszę o analizę zasadności tej grupy i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Uwzględniono i zmodyfikowano treść 1.1.</w:t>
            </w:r>
          </w:p>
          <w:p w:rsidR="00A15E54" w:rsidRDefault="00A15E54">
            <w:pPr>
              <w:jc w:val="center"/>
              <w:rPr>
                <w:rFonts w:asciiTheme="minorHAnsi" w:hAnsiTheme="minorHAnsi" w:cstheme="minorHAnsi"/>
                <w:sz w:val="22"/>
                <w:szCs w:val="22"/>
              </w:rPr>
            </w:pPr>
          </w:p>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 xml:space="preserve">Funkcjonalności przeznaczone dla osób z niepełnosprawnościami oraz osób ze szczególnymi potrzebami stanowią istotny element projektowanych rozwiązań i zostały uwzględnione zgodnie z zasadami dostępności </w:t>
            </w:r>
            <w:r>
              <w:rPr>
                <w:rFonts w:asciiTheme="minorHAnsi" w:hAnsiTheme="minorHAnsi" w:cstheme="minorHAnsi"/>
                <w:sz w:val="22"/>
                <w:szCs w:val="22"/>
              </w:rPr>
              <w:lastRenderedPageBreak/>
              <w:t>cyfrowej oraz projektowania uniwersalnego.</w:t>
            </w:r>
          </w:p>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 xml:space="preserve">Zmodyfikowano opis grupy interesariuszy zgodnie z sugestią. Wskazana liczba 100 000 nie odnosi się wyłącznie do osób z niepełnosprawnościami, lecz stanowi szacowaną potencjalną liczbę użytkowników rezultatów projektu, w tym użytkowników korzystających z funkcjonalności </w:t>
            </w:r>
            <w:proofErr w:type="spellStart"/>
            <w:r>
              <w:rPr>
                <w:rFonts w:asciiTheme="minorHAnsi" w:hAnsiTheme="minorHAnsi" w:cstheme="minorHAnsi"/>
                <w:sz w:val="22"/>
                <w:szCs w:val="22"/>
              </w:rPr>
              <w:t>dostępnościowych</w:t>
            </w:r>
            <w:proofErr w:type="spellEnd"/>
            <w:r>
              <w:rPr>
                <w:rFonts w:asciiTheme="minorHAnsi" w:hAnsiTheme="minorHAnsi" w:cstheme="minorHAnsi"/>
                <w:sz w:val="22"/>
                <w:szCs w:val="22"/>
              </w:rPr>
              <w:t xml:space="preserve"> oraz osób z niepełnosprawnościami i szczególnymi potrzebami.</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1.1. Identyfikacja problemu i potrzeb</w:t>
            </w:r>
          </w:p>
        </w:tc>
        <w:tc>
          <w:tcPr>
            <w:tcW w:w="7371" w:type="dxa"/>
          </w:tcPr>
          <w:p w:rsidR="00A15E54" w:rsidRDefault="00000000">
            <w:pPr>
              <w:rPr>
                <w:rFonts w:asciiTheme="minorHAnsi" w:hAnsiTheme="minorHAnsi" w:cstheme="minorHAnsi"/>
                <w:sz w:val="22"/>
                <w:szCs w:val="22"/>
              </w:rPr>
            </w:pPr>
            <w:r>
              <w:rPr>
                <w:rFonts w:asciiTheme="minorHAnsi" w:hAnsiTheme="minorHAnsi" w:cstheme="minorHAnsi"/>
                <w:sz w:val="22"/>
                <w:szCs w:val="22"/>
              </w:rPr>
              <w:t>Projekt traktuje wszystkie grupy odbiorców jako równorzędnych beneficjentów systemu, mimo że ich oczekiwania, poziom kompetencji i scenariusze wykorzystania zasobów są całkowicie odmienne. Interesariuszy potraktowani zostali równoznaczne. Wydaje się, że brak jest wyraźnej ich segmentacji według ich rzeczywistych funkcji, potrzeb oraz sposobu korzystania z udostępnianych materiałów. Nie uzasadniono, które grupy są kluczowymi użytkownikami systemu i jakie są priorytety funkcjonalne dla poszczególnych interesariuszy.</w:t>
            </w:r>
          </w:p>
          <w:p w:rsidR="00A15E54" w:rsidRDefault="00000000">
            <w:pPr>
              <w:rPr>
                <w:rFonts w:asciiTheme="minorHAnsi" w:hAnsiTheme="minorHAnsi" w:cstheme="minorHAnsi"/>
                <w:sz w:val="22"/>
                <w:szCs w:val="22"/>
              </w:rPr>
            </w:pPr>
            <w:r>
              <w:rPr>
                <w:rFonts w:asciiTheme="minorHAnsi" w:hAnsiTheme="minorHAnsi" w:cstheme="minorHAnsi"/>
                <w:sz w:val="22"/>
                <w:szCs w:val="22"/>
              </w:rPr>
              <w:t>W rezultacie analiza interesariuszy sprawia wrażenie, jakby głównym celem było wykazanie możliwie szerokiego oddziaływania społecznego projektu, a nie stworzenie rzeczywistej mapy użytkowników i beneficjentów platformy cyfrowej.</w:t>
            </w:r>
          </w:p>
        </w:tc>
        <w:tc>
          <w:tcPr>
            <w:tcW w:w="1984"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Proszę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Uwzględniono i zmodyfikowano treść 1.1.</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1.2. Opis stanu obecnego</w:t>
            </w:r>
          </w:p>
        </w:tc>
        <w:tc>
          <w:tcPr>
            <w:tcW w:w="7371" w:type="dxa"/>
          </w:tcPr>
          <w:p w:rsidR="00A15E54" w:rsidRDefault="00000000">
            <w:pPr>
              <w:rPr>
                <w:rFonts w:asciiTheme="minorHAnsi" w:hAnsiTheme="minorHAnsi" w:cstheme="minorHAnsi"/>
                <w:sz w:val="22"/>
                <w:szCs w:val="22"/>
              </w:rPr>
            </w:pPr>
            <w:r>
              <w:rPr>
                <w:rFonts w:asciiTheme="minorHAnsi" w:hAnsiTheme="minorHAnsi" w:cstheme="minorHAnsi"/>
                <w:sz w:val="22"/>
                <w:szCs w:val="22"/>
              </w:rPr>
              <w:t xml:space="preserve">W opisie stanu obecnego nie należy prezentować informacji o problemach i brakach, które są opisane w pkt 1.1, a dotychczasowym sposobie realizacji procesów lub usług, rodzaju danych przetwarzanych w ramach procesów biznesowych, wykorzystywanym sprzęcie i infrastrukturze, oprogramowaniu, poziomie digitalizacji danego obszaru, itp. w odniesieniu do produktów projektu (e-usług, udostępnianych lub </w:t>
            </w:r>
            <w:proofErr w:type="spellStart"/>
            <w:r>
              <w:rPr>
                <w:rFonts w:asciiTheme="minorHAnsi" w:hAnsiTheme="minorHAnsi" w:cstheme="minorHAnsi"/>
                <w:sz w:val="22"/>
                <w:szCs w:val="22"/>
              </w:rPr>
              <w:t>digitalizowanych</w:t>
            </w:r>
            <w:proofErr w:type="spellEnd"/>
            <w:r>
              <w:rPr>
                <w:rFonts w:asciiTheme="minorHAnsi" w:hAnsiTheme="minorHAnsi" w:cstheme="minorHAnsi"/>
                <w:sz w:val="22"/>
                <w:szCs w:val="22"/>
              </w:rPr>
              <w:t xml:space="preserve"> zasobów, infrastruktury, systemów teleinformatycznych i ich modułów, rejestrów lub pozostałych) i </w:t>
            </w:r>
            <w:r>
              <w:rPr>
                <w:rFonts w:asciiTheme="minorHAnsi" w:hAnsiTheme="minorHAnsi" w:cstheme="minorHAnsi"/>
                <w:sz w:val="22"/>
                <w:szCs w:val="22"/>
              </w:rPr>
              <w:lastRenderedPageBreak/>
              <w:t>wymiany danych pomiędzy systemami, które mają być modyfikowane lub wytwarzane i wdrażane w ramach projektu.</w:t>
            </w:r>
          </w:p>
        </w:tc>
        <w:tc>
          <w:tcPr>
            <w:tcW w:w="1984"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lastRenderedPageBreak/>
              <w:t>Proszę o analizę i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 xml:space="preserve">Uwzględniono i zmodyfikowano opis 1.2. </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2.1 Cele i korzyści wynikające z projektu</w:t>
            </w:r>
          </w:p>
        </w:tc>
        <w:tc>
          <w:tcPr>
            <w:tcW w:w="7371" w:type="dxa"/>
          </w:tcPr>
          <w:p w:rsidR="00A15E54" w:rsidRDefault="00000000">
            <w:pPr>
              <w:rPr>
                <w:rFonts w:asciiTheme="minorHAnsi" w:hAnsiTheme="minorHAnsi" w:cstheme="minorHAnsi"/>
                <w:sz w:val="22"/>
                <w:szCs w:val="22"/>
              </w:rPr>
            </w:pPr>
            <w:r>
              <w:rPr>
                <w:rFonts w:asciiTheme="minorHAnsi" w:hAnsiTheme="minorHAnsi" w:cstheme="minorHAnsi"/>
                <w:sz w:val="22"/>
                <w:szCs w:val="22"/>
              </w:rPr>
              <w:t>Dla KPI 3 i 4 należy zastosować rozwinięcie skrótów („M” i „K”).</w:t>
            </w:r>
          </w:p>
        </w:tc>
        <w:tc>
          <w:tcPr>
            <w:tcW w:w="1984"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Proszę o analizę i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Uwzględniono uwagę i skorygowano OZPI.</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2.1 Cele i korzyści wynikające z projektu</w:t>
            </w:r>
          </w:p>
        </w:tc>
        <w:tc>
          <w:tcPr>
            <w:tcW w:w="7371" w:type="dxa"/>
          </w:tcPr>
          <w:p w:rsidR="00A15E54" w:rsidRDefault="00000000">
            <w:pPr>
              <w:rPr>
                <w:rFonts w:asciiTheme="minorHAnsi" w:hAnsiTheme="minorHAnsi" w:cstheme="minorHAnsi"/>
                <w:sz w:val="22"/>
                <w:szCs w:val="22"/>
              </w:rPr>
            </w:pPr>
            <w:r>
              <w:rPr>
                <w:rFonts w:asciiTheme="minorHAnsi" w:hAnsiTheme="minorHAnsi" w:cstheme="minorHAnsi"/>
                <w:sz w:val="22"/>
                <w:szCs w:val="22"/>
              </w:rPr>
              <w:t>W zakresie KPI 3 należy wprowadzić jednozdaniową nazwę celu i rozważyć połączenie z celem 1 i 2</w:t>
            </w:r>
          </w:p>
        </w:tc>
        <w:tc>
          <w:tcPr>
            <w:tcW w:w="1984"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Proszę o analizę i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Uwzględniono uwagę oraz skorygowano OZPI. Z uwagi na specyfikę op</w:t>
            </w:r>
            <w:r w:rsidR="00276DD5">
              <w:rPr>
                <w:rFonts w:asciiTheme="minorHAnsi" w:hAnsiTheme="minorHAnsi" w:cstheme="minorHAnsi"/>
                <w:sz w:val="22"/>
                <w:szCs w:val="22"/>
              </w:rPr>
              <w:t>r</w:t>
            </w:r>
            <w:r>
              <w:rPr>
                <w:rFonts w:asciiTheme="minorHAnsi" w:hAnsiTheme="minorHAnsi" w:cstheme="minorHAnsi"/>
                <w:sz w:val="22"/>
                <w:szCs w:val="22"/>
              </w:rPr>
              <w:t>acowania korespondencji Chopinowskiej nie łączono z celami 1 i 2.</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2.1 Cele i korzyści wynikające z projektu</w:t>
            </w:r>
          </w:p>
        </w:tc>
        <w:tc>
          <w:tcPr>
            <w:tcW w:w="7371" w:type="dxa"/>
          </w:tcPr>
          <w:p w:rsidR="00A15E54" w:rsidRDefault="00000000">
            <w:pPr>
              <w:rPr>
                <w:rFonts w:asciiTheme="minorHAnsi" w:hAnsiTheme="minorHAnsi" w:cstheme="minorHAnsi"/>
                <w:sz w:val="22"/>
                <w:szCs w:val="22"/>
              </w:rPr>
            </w:pPr>
            <w:r>
              <w:rPr>
                <w:rFonts w:asciiTheme="minorHAnsi" w:hAnsiTheme="minorHAnsi" w:cstheme="minorHAnsi"/>
                <w:sz w:val="22"/>
                <w:szCs w:val="22"/>
              </w:rPr>
              <w:t>Przy celu nr 2 i nr 3 w sekcji „Cel strategiczny” dla pozycji „- EFRR.CP1.II - Czerpanie korzyści z cyfryzacji dla obywateli, przedsiębiorstw, organizacji badawczych i instytucji publicznych poprzez wzrost wykorzystania wysokiej jakości danych prywatnych i publicznych” należy doprecyzować, o jakim dokumencie strategicznym mowa (tytuł).</w:t>
            </w:r>
          </w:p>
        </w:tc>
        <w:tc>
          <w:tcPr>
            <w:tcW w:w="1984"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Proszę o analizę i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Uwzględniono uwagę i skorygowano OZPI.</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2.1 Cele i korzyści wynikające z projektu</w:t>
            </w:r>
          </w:p>
        </w:tc>
        <w:tc>
          <w:tcPr>
            <w:tcW w:w="7371" w:type="dxa"/>
          </w:tcPr>
          <w:p w:rsidR="00A15E54" w:rsidRDefault="00000000">
            <w:pPr>
              <w:rPr>
                <w:rFonts w:asciiTheme="minorHAnsi" w:hAnsiTheme="minorHAnsi" w:cstheme="minorHAnsi"/>
                <w:sz w:val="22"/>
                <w:szCs w:val="22"/>
              </w:rPr>
            </w:pPr>
            <w:r>
              <w:rPr>
                <w:rFonts w:asciiTheme="minorHAnsi" w:hAnsiTheme="minorHAnsi" w:cstheme="minorHAnsi"/>
                <w:sz w:val="22"/>
                <w:szCs w:val="22"/>
              </w:rPr>
              <w:t>Nie wykazano wskaźników jakościowych, które pozwolą na właściwą ocenę efektów projektu, które m.in. w zakresie digitalizacji i udostępniania zasobów:</w:t>
            </w:r>
          </w:p>
          <w:p w:rsidR="00A15E54" w:rsidRDefault="00000000">
            <w:pPr>
              <w:numPr>
                <w:ilvl w:val="0"/>
                <w:numId w:val="10"/>
              </w:numPr>
              <w:rPr>
                <w:rFonts w:asciiTheme="minorHAnsi" w:hAnsiTheme="minorHAnsi" w:cstheme="minorHAnsi"/>
                <w:sz w:val="22"/>
                <w:szCs w:val="22"/>
              </w:rPr>
            </w:pPr>
            <w:r>
              <w:rPr>
                <w:rFonts w:asciiTheme="minorHAnsi" w:hAnsiTheme="minorHAnsi" w:cstheme="minorHAnsi"/>
                <w:sz w:val="22"/>
                <w:szCs w:val="22"/>
              </w:rPr>
              <w:t>potwierdzą wysoką jakość kopii cyfrowych realizowanych w ramach procesu digitalizacji (wskaźnik produktu/celu)</w:t>
            </w:r>
          </w:p>
          <w:p w:rsidR="00A15E54" w:rsidRDefault="00000000">
            <w:pPr>
              <w:numPr>
                <w:ilvl w:val="0"/>
                <w:numId w:val="10"/>
              </w:numPr>
              <w:rPr>
                <w:rFonts w:asciiTheme="minorHAnsi" w:hAnsiTheme="minorHAnsi" w:cstheme="minorHAnsi"/>
                <w:sz w:val="22"/>
                <w:szCs w:val="22"/>
              </w:rPr>
            </w:pPr>
            <w:r>
              <w:rPr>
                <w:rFonts w:asciiTheme="minorHAnsi" w:hAnsiTheme="minorHAnsi" w:cstheme="minorHAnsi"/>
                <w:sz w:val="22"/>
                <w:szCs w:val="22"/>
              </w:rPr>
              <w:t xml:space="preserve">pozwalają na monitorowanie popularności platformy udostępniania poprzez coroczne sprawdzanie ilości odsłon/pobrań </w:t>
            </w:r>
            <w:proofErr w:type="spellStart"/>
            <w:r>
              <w:rPr>
                <w:rFonts w:asciiTheme="minorHAnsi" w:hAnsiTheme="minorHAnsi" w:cstheme="minorHAnsi"/>
                <w:sz w:val="22"/>
                <w:szCs w:val="22"/>
              </w:rPr>
              <w:t>zdigitalizowanych</w:t>
            </w:r>
            <w:proofErr w:type="spellEnd"/>
            <w:r>
              <w:rPr>
                <w:rFonts w:asciiTheme="minorHAnsi" w:hAnsiTheme="minorHAnsi" w:cstheme="minorHAnsi"/>
                <w:sz w:val="22"/>
                <w:szCs w:val="22"/>
              </w:rPr>
              <w:t xml:space="preserve"> i udostępnionych dokumentów (wskaźnik rezultatu)</w:t>
            </w:r>
          </w:p>
          <w:p w:rsidR="00A15E54" w:rsidRDefault="00000000">
            <w:pPr>
              <w:numPr>
                <w:ilvl w:val="0"/>
                <w:numId w:val="10"/>
              </w:numPr>
              <w:rPr>
                <w:rFonts w:asciiTheme="minorHAnsi" w:hAnsiTheme="minorHAnsi" w:cstheme="minorHAnsi"/>
                <w:sz w:val="22"/>
                <w:szCs w:val="22"/>
              </w:rPr>
            </w:pPr>
            <w:r>
              <w:rPr>
                <w:rFonts w:asciiTheme="minorHAnsi" w:hAnsiTheme="minorHAnsi" w:cstheme="minorHAnsi"/>
                <w:sz w:val="22"/>
                <w:szCs w:val="22"/>
              </w:rPr>
              <w:t>wykażą wysoką wydajność budowanego systemu oraz związanej z nim infrastruktury (wskaźnik produktu/celu)</w:t>
            </w:r>
          </w:p>
          <w:p w:rsidR="00A15E54" w:rsidRDefault="00000000">
            <w:pPr>
              <w:numPr>
                <w:ilvl w:val="0"/>
                <w:numId w:val="10"/>
              </w:numPr>
              <w:rPr>
                <w:rFonts w:asciiTheme="minorHAnsi" w:hAnsiTheme="minorHAnsi" w:cstheme="minorHAnsi"/>
                <w:sz w:val="22"/>
                <w:szCs w:val="22"/>
              </w:rPr>
            </w:pPr>
            <w:r>
              <w:rPr>
                <w:rFonts w:asciiTheme="minorHAnsi" w:hAnsiTheme="minorHAnsi" w:cstheme="minorHAnsi"/>
                <w:sz w:val="22"/>
                <w:szCs w:val="22"/>
              </w:rPr>
              <w:t>umożliwią uzyskanie odpowiednich certyfikatów potwierdzających wysoką jakość zbiorów, systemów oraz procedur zbierania, przechowywania i przetwarzania danych (wskaźnik rezultatu)</w:t>
            </w:r>
          </w:p>
        </w:tc>
        <w:tc>
          <w:tcPr>
            <w:tcW w:w="1984"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Proszę o analizę i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 xml:space="preserve">Wskaźniki zostały zaprojektowane adekwatnie do celów projektu a jednocześnie w sposób spójny w wymaganiami formularza wniosku o dofinansowanie. Jakość zbiorów nie wymaga certyfikacji (brak też narzędzi certyfikacyjnych) – są to dobra kultury unikalne i stanowiące efekt działalności państwowej instytucji kultury. Fakt </w:t>
            </w:r>
            <w:proofErr w:type="spellStart"/>
            <w:r>
              <w:rPr>
                <w:rFonts w:asciiTheme="minorHAnsi" w:hAnsiTheme="minorHAnsi" w:cstheme="minorHAnsi"/>
                <w:sz w:val="22"/>
                <w:szCs w:val="22"/>
              </w:rPr>
              <w:t>moniotrowania</w:t>
            </w:r>
            <w:proofErr w:type="spellEnd"/>
            <w:r>
              <w:rPr>
                <w:rFonts w:asciiTheme="minorHAnsi" w:hAnsiTheme="minorHAnsi" w:cstheme="minorHAnsi"/>
                <w:sz w:val="22"/>
                <w:szCs w:val="22"/>
              </w:rPr>
              <w:t xml:space="preserve"> popularności (ilości odsłon) wskazano poprzez KPI 11: „Użytkownicy nowych i zmodernizowanych publicznych usług, produktów </w:t>
            </w:r>
            <w:r>
              <w:rPr>
                <w:rFonts w:asciiTheme="minorHAnsi" w:hAnsiTheme="minorHAnsi" w:cstheme="minorHAnsi"/>
                <w:sz w:val="22"/>
                <w:szCs w:val="22"/>
              </w:rPr>
              <w:lastRenderedPageBreak/>
              <w:t>i procesów cyfrowych (osoby)”.</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2.1 Cele i korzyści wynikające z projektu</w:t>
            </w:r>
          </w:p>
        </w:tc>
        <w:tc>
          <w:tcPr>
            <w:tcW w:w="7371" w:type="dxa"/>
          </w:tcPr>
          <w:p w:rsidR="00A15E54" w:rsidRDefault="00000000">
            <w:pPr>
              <w:rPr>
                <w:rFonts w:asciiTheme="minorHAnsi" w:hAnsiTheme="minorHAnsi" w:cstheme="minorHAnsi"/>
                <w:sz w:val="22"/>
                <w:szCs w:val="22"/>
              </w:rPr>
            </w:pPr>
            <w:r>
              <w:rPr>
                <w:rFonts w:asciiTheme="minorHAnsi" w:hAnsiTheme="minorHAnsi" w:cstheme="minorHAnsi"/>
                <w:sz w:val="22"/>
                <w:szCs w:val="22"/>
              </w:rPr>
              <w:t>Należy doprecyzować metody pomiaru, w szczególności źródła, aby można było uzyskać jednoznaczną informację w tym zakresie</w:t>
            </w:r>
          </w:p>
          <w:p w:rsidR="00A15E54" w:rsidRDefault="00A15E54">
            <w:pPr>
              <w:rPr>
                <w:rFonts w:asciiTheme="minorHAnsi" w:hAnsiTheme="minorHAnsi" w:cstheme="minorHAnsi"/>
                <w:sz w:val="22"/>
                <w:szCs w:val="22"/>
              </w:rPr>
            </w:pPr>
          </w:p>
          <w:p w:rsidR="00A15E54" w:rsidRDefault="00000000">
            <w:pPr>
              <w:rPr>
                <w:rFonts w:asciiTheme="minorHAnsi" w:hAnsiTheme="minorHAnsi" w:cstheme="minorHAnsi"/>
                <w:sz w:val="22"/>
                <w:szCs w:val="22"/>
              </w:rPr>
            </w:pPr>
            <w:r>
              <w:rPr>
                <w:rFonts w:asciiTheme="minorHAnsi" w:hAnsiTheme="minorHAnsi" w:cstheme="minorHAnsi"/>
                <w:sz w:val="22"/>
                <w:szCs w:val="22"/>
              </w:rPr>
              <w:t>W metodach pomiaru wskazana jest np. źródło danych: baza systemu, jednak bez wyjaśnienia, jakiego systemu. W projekcie modyfikowanych lub planowanych jest kilka.</w:t>
            </w:r>
          </w:p>
        </w:tc>
        <w:tc>
          <w:tcPr>
            <w:tcW w:w="1984"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Proszę o analizę i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Uwzględniono uwagę i skorygowano w OZPI.</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2.1 Cele i korzyści wynikające z projektu</w:t>
            </w:r>
          </w:p>
        </w:tc>
        <w:tc>
          <w:tcPr>
            <w:tcW w:w="7371" w:type="dxa"/>
          </w:tcPr>
          <w:p w:rsidR="00A15E54" w:rsidRDefault="00000000">
            <w:pPr>
              <w:rPr>
                <w:rFonts w:asciiTheme="minorHAnsi" w:hAnsiTheme="minorHAnsi" w:cstheme="minorHAnsi"/>
                <w:sz w:val="22"/>
                <w:szCs w:val="22"/>
              </w:rPr>
            </w:pPr>
            <w:r>
              <w:rPr>
                <w:rFonts w:asciiTheme="minorHAnsi" w:hAnsiTheme="minorHAnsi" w:cstheme="minorHAnsi"/>
                <w:sz w:val="22"/>
                <w:szCs w:val="22"/>
              </w:rPr>
              <w:t xml:space="preserve">Większość wskaźników odnosi się do liczby dokumentów, liczby API, liczby rekordów, liczby systemów, liczby szkoleń lub wielkości danych w terabajtach. Są to przede wszystkim wskaźniki produktu lub aktywności, a nie rzeczywistych rezultatów projektu. Projekt praktycznie nie definiuje wskaźników jakościowych oraz wskaźników wpływu. Metody pomiaru KPI są bardzo uproszczone i opierają się głównie na „szacunku na podstawie danych zastanych” oraz raportach systemowych. Szczególnie słabo rozwinięto kwestie bezpieczeństwa cyfrowego i </w:t>
            </w:r>
            <w:proofErr w:type="spellStart"/>
            <w:r>
              <w:rPr>
                <w:rFonts w:asciiTheme="minorHAnsi" w:hAnsiTheme="minorHAnsi" w:cstheme="minorHAnsi"/>
                <w:sz w:val="22"/>
                <w:szCs w:val="22"/>
              </w:rPr>
              <w:t>cyberbezpieczeństwa</w:t>
            </w:r>
            <w:proofErr w:type="spellEnd"/>
            <w:r>
              <w:rPr>
                <w:rFonts w:asciiTheme="minorHAnsi" w:hAnsiTheme="minorHAnsi" w:cstheme="minorHAnsi"/>
                <w:sz w:val="22"/>
                <w:szCs w:val="22"/>
              </w:rPr>
              <w:t xml:space="preserve"> platformy. Projekt przewiduje jedynie audyt bezpieczeństwa oraz testy bezpieczeństwa.</w:t>
            </w:r>
          </w:p>
        </w:tc>
        <w:tc>
          <w:tcPr>
            <w:tcW w:w="1984"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Proszę o korektę opisu założeń</w:t>
            </w:r>
          </w:p>
        </w:tc>
        <w:tc>
          <w:tcPr>
            <w:tcW w:w="2919" w:type="dxa"/>
          </w:tcPr>
          <w:p w:rsidR="00A15E54" w:rsidRDefault="00000000">
            <w:pPr>
              <w:rPr>
                <w:rFonts w:asciiTheme="minorHAnsi" w:hAnsiTheme="minorHAnsi" w:cstheme="minorHAnsi"/>
                <w:sz w:val="22"/>
                <w:szCs w:val="22"/>
              </w:rPr>
            </w:pPr>
            <w:r>
              <w:rPr>
                <w:rFonts w:asciiTheme="minorHAnsi" w:hAnsiTheme="minorHAnsi" w:cstheme="minorHAnsi"/>
                <w:sz w:val="22"/>
                <w:szCs w:val="22"/>
              </w:rPr>
              <w:t xml:space="preserve">Wskaźniki zaplanowano zgodnie z wytycznymi formularza wniosku o dofinansowanie w sposób pozwalający precyzyjnie mierzyć efekty projektu w trakcie realizacji oraz po zakończeniu. Zgodnie z wytycznymi uwzględniono wskaźniki rezultatu, które ujęto w OZPI: KPI 11, KPI 13. </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2.1 Cele i korzyści wynikające z projektu</w:t>
            </w:r>
          </w:p>
        </w:tc>
        <w:tc>
          <w:tcPr>
            <w:tcW w:w="7371" w:type="dxa"/>
          </w:tcPr>
          <w:p w:rsidR="00A15E54" w:rsidRDefault="00000000">
            <w:pPr>
              <w:rPr>
                <w:rFonts w:asciiTheme="minorHAnsi" w:hAnsiTheme="minorHAnsi" w:cstheme="minorHAnsi"/>
                <w:sz w:val="22"/>
                <w:szCs w:val="22"/>
              </w:rPr>
            </w:pPr>
            <w:r>
              <w:rPr>
                <w:rFonts w:asciiTheme="minorHAnsi" w:hAnsiTheme="minorHAnsi" w:cstheme="minorHAnsi"/>
                <w:sz w:val="22"/>
                <w:szCs w:val="22"/>
              </w:rPr>
              <w:t>Wśród korzyści projekt deklaruje ochronę dziedzictwa narodowego, rozwój humanistyki cyfrowej, wspieranie badań naukowych, rozwój interoperacyjności danych, rozwój sztucznej inteligencji, zwiększenie dostępności zasobów kultury, wspieranie edukacji, rozwój kompetencji cyfrowych oraz umiędzynarodowienie zasobów chopinowskich. Tak szerokie ich zdefiniowanie powoduje całkowitą utratę istoty projektu. Nie wskazano jednoznacznie, które mają charakter priorytetowy, które stanowią jedynie efekty pośrednie, a które są przede wszystkim elementem narracji uzasadniającej finansowanie projektu.</w:t>
            </w:r>
          </w:p>
        </w:tc>
        <w:tc>
          <w:tcPr>
            <w:tcW w:w="1984" w:type="dxa"/>
          </w:tcPr>
          <w:p w:rsidR="00A15E54" w:rsidRDefault="00000000">
            <w:pPr>
              <w:jc w:val="center"/>
              <w:rPr>
                <w:rFonts w:asciiTheme="minorHAnsi" w:hAnsiTheme="minorHAnsi" w:cstheme="minorHAnsi"/>
                <w:sz w:val="22"/>
                <w:szCs w:val="22"/>
              </w:rPr>
            </w:pPr>
            <w:r>
              <w:rPr>
                <w:rFonts w:ascii="Calibri" w:hAnsi="Calibri" w:cs="Calibri"/>
                <w:sz w:val="22"/>
                <w:szCs w:val="22"/>
              </w:rPr>
              <w:t>Proszę o analizę i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Uwzględniono i zmodyfikowano 2.1.</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Calibri" w:hAnsi="Calibri" w:cs="Calibri"/>
                <w:sz w:val="22"/>
                <w:szCs w:val="22"/>
              </w:rPr>
            </w:pPr>
            <w:r>
              <w:rPr>
                <w:rFonts w:asciiTheme="minorHAnsi" w:hAnsiTheme="minorHAnsi" w:cstheme="minorHAnsi"/>
                <w:sz w:val="22"/>
                <w:szCs w:val="22"/>
              </w:rPr>
              <w:t>2.1 Cele i korzyści wynikające z projektu</w:t>
            </w:r>
          </w:p>
        </w:tc>
        <w:tc>
          <w:tcPr>
            <w:tcW w:w="7371" w:type="dxa"/>
          </w:tcPr>
          <w:p w:rsidR="00A15E54" w:rsidRDefault="00000000">
            <w:pPr>
              <w:rPr>
                <w:rFonts w:ascii="Calibri" w:hAnsi="Calibri" w:cs="Calibri"/>
                <w:sz w:val="22"/>
                <w:szCs w:val="22"/>
              </w:rPr>
            </w:pPr>
            <w:r>
              <w:rPr>
                <w:rFonts w:ascii="Calibri" w:hAnsi="Calibri" w:cs="Calibri"/>
                <w:sz w:val="22"/>
                <w:szCs w:val="22"/>
              </w:rPr>
              <w:t xml:space="preserve">Projekt szeroko opisuje korzyści związane z dostępnością cyfrową i </w:t>
            </w:r>
            <w:proofErr w:type="spellStart"/>
            <w:r>
              <w:rPr>
                <w:rFonts w:ascii="Calibri" w:hAnsi="Calibri" w:cs="Calibri"/>
                <w:sz w:val="22"/>
                <w:szCs w:val="22"/>
              </w:rPr>
              <w:t>inkluzywnością</w:t>
            </w:r>
            <w:proofErr w:type="spellEnd"/>
            <w:r>
              <w:rPr>
                <w:rFonts w:ascii="Calibri" w:hAnsi="Calibri" w:cs="Calibri"/>
                <w:sz w:val="22"/>
                <w:szCs w:val="22"/>
              </w:rPr>
              <w:t xml:space="preserve"> społeczną, jednak nie pokazuje konkretnych mechanizmów ich osiągnięcia. Nie określono docelowych poziomów dostępności, sposobów wsparcia użytkowników z niepełnosprawnościami, strategii uproszczenia dostępu do zasobów ani metod aktywizacji użytkowników niezwiązanych zawodowo z kulturą lub nauką.</w:t>
            </w:r>
          </w:p>
        </w:tc>
        <w:tc>
          <w:tcPr>
            <w:tcW w:w="1984" w:type="dxa"/>
          </w:tcPr>
          <w:p w:rsidR="00A15E54" w:rsidRDefault="00000000">
            <w:pPr>
              <w:jc w:val="center"/>
              <w:rPr>
                <w:rFonts w:ascii="Calibri" w:hAnsi="Calibri" w:cs="Calibri"/>
                <w:sz w:val="22"/>
                <w:szCs w:val="22"/>
              </w:rPr>
            </w:pPr>
            <w:r>
              <w:rPr>
                <w:rFonts w:ascii="Calibri" w:hAnsi="Calibri" w:cs="Calibri"/>
                <w:sz w:val="22"/>
                <w:szCs w:val="22"/>
              </w:rPr>
              <w:t>Proszę o analizę i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Skorygowano opis i uwzględniono uwagę w pkt. 2.1.</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Calibri" w:hAnsi="Calibri" w:cs="Calibri"/>
                <w:sz w:val="22"/>
                <w:szCs w:val="22"/>
              </w:rPr>
            </w:pPr>
            <w:r>
              <w:rPr>
                <w:rFonts w:asciiTheme="minorHAnsi" w:hAnsiTheme="minorHAnsi" w:cstheme="minorHAnsi"/>
                <w:sz w:val="22"/>
                <w:szCs w:val="22"/>
              </w:rPr>
              <w:t xml:space="preserve">2.1 Cele i korzyści </w:t>
            </w:r>
            <w:r>
              <w:rPr>
                <w:rFonts w:asciiTheme="minorHAnsi" w:hAnsiTheme="minorHAnsi" w:cstheme="minorHAnsi"/>
                <w:sz w:val="22"/>
                <w:szCs w:val="22"/>
              </w:rPr>
              <w:lastRenderedPageBreak/>
              <w:t>wynikające z projektu</w:t>
            </w:r>
          </w:p>
        </w:tc>
        <w:tc>
          <w:tcPr>
            <w:tcW w:w="7371" w:type="dxa"/>
          </w:tcPr>
          <w:p w:rsidR="00A15E54" w:rsidRDefault="00000000">
            <w:pPr>
              <w:rPr>
                <w:rFonts w:ascii="Calibri" w:hAnsi="Calibri" w:cs="Calibri"/>
                <w:sz w:val="22"/>
                <w:szCs w:val="22"/>
              </w:rPr>
            </w:pPr>
            <w:r>
              <w:rPr>
                <w:rFonts w:ascii="Calibri" w:hAnsi="Calibri" w:cs="Calibri"/>
                <w:sz w:val="22"/>
                <w:szCs w:val="22"/>
              </w:rPr>
              <w:lastRenderedPageBreak/>
              <w:t xml:space="preserve">Projekt zakłada, że digitalizacja zasobów, stworzenie API, budowa platformy VOD oraz przygotowanie korpusów danych automatycznie doprowadzą do rozwoju badań naukowych i zwiększenia wykorzystania zasobów. Projekt </w:t>
            </w:r>
            <w:r>
              <w:rPr>
                <w:rFonts w:ascii="Calibri" w:hAnsi="Calibri" w:cs="Calibri"/>
                <w:sz w:val="22"/>
                <w:szCs w:val="22"/>
              </w:rPr>
              <w:lastRenderedPageBreak/>
              <w:t>przyjmuje założenie, że samo udostępnienie danych będzie wystarczająca do wygenerowania wartości naukowej i społecznej. Założenie takie jest bardzo uproszczone i nie znajduje potwierdzenia w praktyce.</w:t>
            </w:r>
          </w:p>
        </w:tc>
        <w:tc>
          <w:tcPr>
            <w:tcW w:w="1984" w:type="dxa"/>
          </w:tcPr>
          <w:p w:rsidR="00A15E54" w:rsidRDefault="00000000">
            <w:pPr>
              <w:jc w:val="center"/>
              <w:rPr>
                <w:rFonts w:ascii="Calibri" w:hAnsi="Calibri" w:cs="Calibri"/>
                <w:sz w:val="22"/>
                <w:szCs w:val="22"/>
              </w:rPr>
            </w:pPr>
            <w:r>
              <w:rPr>
                <w:rFonts w:ascii="Calibri" w:hAnsi="Calibri" w:cs="Calibri"/>
                <w:sz w:val="22"/>
                <w:szCs w:val="22"/>
              </w:rPr>
              <w:lastRenderedPageBreak/>
              <w:t>Proszę o analizę i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 xml:space="preserve">Celem przedsięwzięcia nie jest wyłącznie udostępnienie danych, lecz stworzenie </w:t>
            </w:r>
            <w:r>
              <w:rPr>
                <w:rFonts w:asciiTheme="minorHAnsi" w:hAnsiTheme="minorHAnsi" w:cstheme="minorHAnsi"/>
                <w:sz w:val="22"/>
                <w:szCs w:val="22"/>
              </w:rPr>
              <w:lastRenderedPageBreak/>
              <w:t>wysokiej jakości zasobów nauki obejmujących opracowanie naukowe, metadane, transkrypcje, tłumaczenia, relacje pomiędzy obiektami oraz mechanizmy ich wyszukiwania i ponownego wykorzystania.</w:t>
            </w:r>
          </w:p>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 xml:space="preserve">W przypadku korespondencji chopinowskiej projekt obejmuje nie tylko digitalizację źródeł, lecz również przygotowanie transkrypcji, tłumaczeń, specjalistycznych metadanych oraz opisów naukowych umożliwiających analizę treści, relacji pomiędzy dokumentami, osobami, miejscami i wydarzeniami. Planowane jest też t badania obiektów oryginalnych i udostępnienie danych dotyczących samego papieru i atramentu </w:t>
            </w:r>
            <w:proofErr w:type="spellStart"/>
            <w:r>
              <w:rPr>
                <w:rFonts w:asciiTheme="minorHAnsi" w:hAnsiTheme="minorHAnsi" w:cstheme="minorHAnsi"/>
                <w:sz w:val="22"/>
                <w:szCs w:val="22"/>
              </w:rPr>
              <w:t>ww</w:t>
            </w:r>
            <w:proofErr w:type="spellEnd"/>
            <w:r>
              <w:rPr>
                <w:rFonts w:asciiTheme="minorHAnsi" w:hAnsiTheme="minorHAnsi" w:cstheme="minorHAnsi"/>
                <w:sz w:val="22"/>
                <w:szCs w:val="22"/>
              </w:rPr>
              <w:t xml:space="preserve"> obiektów. W przypadku zasobów audiowizualnych zaś przewidziano opracowanie materiałów, przygotowanie metadanych, transkrypcji oraz mechanizmów umożliwiających ich wyszukiwanie i wykorzystanie w działalności naukowej, </w:t>
            </w:r>
            <w:r>
              <w:rPr>
                <w:rFonts w:asciiTheme="minorHAnsi" w:hAnsiTheme="minorHAnsi" w:cstheme="minorHAnsi"/>
                <w:sz w:val="22"/>
                <w:szCs w:val="22"/>
              </w:rPr>
              <w:lastRenderedPageBreak/>
              <w:t>edukacyjnej i dokumentacyjnej.</w:t>
            </w:r>
          </w:p>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 xml:space="preserve">Platforma VOD oraz interfejsy API nie stanowią celu samego w sobie, lecz narzędzia umożliwiające dostęp do opracowanych zasobów. Wartość naukowa projektu wynika z jakości opracowania danych oraz możliwości ich wykorzystania w badaniach, analizach porównawczych, działalności dokumentacyjnej i edukacyjnej. </w:t>
            </w:r>
          </w:p>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W rezultacie projekt pozwoli nie tylko zwiększenie liczby dostępnych obiektów cyfrowych, ale również stworzenie zintegrowanego środowiska zasobów nauki umożliwiającego ich efektywne wykorzystanie przez badaczy, instytucje kultury oraz innych użytkowników.</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Theme="minorHAnsi" w:hAnsiTheme="minorHAnsi" w:cstheme="minorHAnsi"/>
                <w:sz w:val="22"/>
                <w:szCs w:val="22"/>
              </w:rPr>
            </w:pPr>
            <w:r>
              <w:rPr>
                <w:rFonts w:ascii="Calibri" w:hAnsi="Calibri" w:cs="Calibri"/>
                <w:sz w:val="22"/>
                <w:szCs w:val="22"/>
              </w:rPr>
              <w:t xml:space="preserve">2.3. Udostępnione informacje sektora publicznego i </w:t>
            </w:r>
            <w:proofErr w:type="spellStart"/>
            <w:r>
              <w:rPr>
                <w:rFonts w:ascii="Calibri" w:hAnsi="Calibri" w:cs="Calibri"/>
                <w:sz w:val="22"/>
                <w:szCs w:val="22"/>
              </w:rPr>
              <w:t>zdigitalizowane</w:t>
            </w:r>
            <w:proofErr w:type="spellEnd"/>
            <w:r>
              <w:rPr>
                <w:rFonts w:ascii="Calibri" w:hAnsi="Calibri" w:cs="Calibri"/>
                <w:sz w:val="22"/>
                <w:szCs w:val="22"/>
              </w:rPr>
              <w:t xml:space="preserve"> zasoby</w:t>
            </w:r>
          </w:p>
        </w:tc>
        <w:tc>
          <w:tcPr>
            <w:tcW w:w="7371" w:type="dxa"/>
          </w:tcPr>
          <w:p w:rsidR="00A15E54" w:rsidRDefault="00000000">
            <w:pPr>
              <w:rPr>
                <w:rFonts w:ascii="Calibri" w:hAnsi="Calibri" w:cs="Calibri"/>
                <w:sz w:val="22"/>
                <w:szCs w:val="22"/>
              </w:rPr>
            </w:pPr>
            <w:r>
              <w:rPr>
                <w:rFonts w:ascii="Calibri" w:hAnsi="Calibri" w:cs="Calibri"/>
                <w:sz w:val="22"/>
                <w:szCs w:val="22"/>
              </w:rPr>
              <w:t>W kolumnie „Rodzaj informacji/zasobów” nazwy zasobów należy przedstawić w następujący sposób:</w:t>
            </w:r>
          </w:p>
          <w:p w:rsidR="00A15E54" w:rsidRDefault="00000000">
            <w:pPr>
              <w:pStyle w:val="Akapitzlist"/>
              <w:numPr>
                <w:ilvl w:val="0"/>
                <w:numId w:val="7"/>
              </w:numPr>
              <w:rPr>
                <w:rFonts w:ascii="Calibri" w:hAnsi="Calibri" w:cs="Calibri"/>
                <w:sz w:val="22"/>
                <w:szCs w:val="22"/>
              </w:rPr>
            </w:pPr>
            <w:r>
              <w:rPr>
                <w:rFonts w:ascii="Calibri" w:hAnsi="Calibri" w:cs="Calibri"/>
                <w:sz w:val="22"/>
                <w:szCs w:val="22"/>
              </w:rPr>
              <w:t>„</w:t>
            </w:r>
            <w:proofErr w:type="spellStart"/>
            <w:r>
              <w:rPr>
                <w:rFonts w:ascii="Calibri" w:hAnsi="Calibri" w:cs="Calibri"/>
                <w:sz w:val="22"/>
                <w:szCs w:val="22"/>
              </w:rPr>
              <w:t>Zdigitalizowane</w:t>
            </w:r>
            <w:proofErr w:type="spellEnd"/>
            <w:r>
              <w:rPr>
                <w:rFonts w:ascii="Calibri" w:hAnsi="Calibri" w:cs="Calibri"/>
                <w:sz w:val="22"/>
                <w:szCs w:val="22"/>
              </w:rPr>
              <w:t xml:space="preserve"> i udostępnione…” (jeśli zasób będzie </w:t>
            </w:r>
            <w:proofErr w:type="spellStart"/>
            <w:r>
              <w:rPr>
                <w:rFonts w:ascii="Calibri" w:hAnsi="Calibri" w:cs="Calibri"/>
                <w:sz w:val="22"/>
                <w:szCs w:val="22"/>
              </w:rPr>
              <w:t>digitalizowany</w:t>
            </w:r>
            <w:proofErr w:type="spellEnd"/>
            <w:r>
              <w:rPr>
                <w:rFonts w:ascii="Calibri" w:hAnsi="Calibri" w:cs="Calibri"/>
                <w:sz w:val="22"/>
                <w:szCs w:val="22"/>
              </w:rPr>
              <w:t xml:space="preserve"> i jednocześnie udostępniony w ramach projektu);</w:t>
            </w:r>
          </w:p>
          <w:p w:rsidR="00A15E54" w:rsidRDefault="00000000">
            <w:pPr>
              <w:pStyle w:val="Akapitzlist"/>
              <w:numPr>
                <w:ilvl w:val="0"/>
                <w:numId w:val="7"/>
              </w:numPr>
              <w:rPr>
                <w:rFonts w:ascii="Calibri" w:hAnsi="Calibri" w:cs="Calibri"/>
                <w:sz w:val="22"/>
                <w:szCs w:val="22"/>
              </w:rPr>
            </w:pPr>
            <w:r>
              <w:rPr>
                <w:rFonts w:ascii="Calibri" w:hAnsi="Calibri" w:cs="Calibri"/>
                <w:sz w:val="22"/>
                <w:szCs w:val="22"/>
              </w:rPr>
              <w:t xml:space="preserve">„Udostępnione…” (jeśli zasób nie będzie </w:t>
            </w:r>
            <w:proofErr w:type="spellStart"/>
            <w:r>
              <w:rPr>
                <w:rFonts w:ascii="Calibri" w:hAnsi="Calibri" w:cs="Calibri"/>
                <w:sz w:val="22"/>
                <w:szCs w:val="22"/>
              </w:rPr>
              <w:t>digitalizowany</w:t>
            </w:r>
            <w:proofErr w:type="spellEnd"/>
            <w:r>
              <w:rPr>
                <w:rFonts w:ascii="Calibri" w:hAnsi="Calibri" w:cs="Calibri"/>
                <w:sz w:val="22"/>
                <w:szCs w:val="22"/>
              </w:rPr>
              <w:t xml:space="preserve"> w ramach projektu, ale będzie udostępniony);</w:t>
            </w:r>
          </w:p>
          <w:p w:rsidR="00A15E54" w:rsidRDefault="00000000">
            <w:pPr>
              <w:pStyle w:val="Akapitzlist"/>
              <w:numPr>
                <w:ilvl w:val="0"/>
                <w:numId w:val="7"/>
              </w:numPr>
              <w:rPr>
                <w:rFonts w:asciiTheme="minorHAnsi" w:hAnsiTheme="minorHAnsi" w:cstheme="minorHAnsi"/>
                <w:sz w:val="22"/>
                <w:szCs w:val="22"/>
              </w:rPr>
            </w:pPr>
            <w:r>
              <w:rPr>
                <w:rFonts w:ascii="Calibri" w:hAnsi="Calibri" w:cs="Calibri"/>
                <w:sz w:val="22"/>
                <w:szCs w:val="22"/>
              </w:rPr>
              <w:t>„</w:t>
            </w:r>
            <w:proofErr w:type="spellStart"/>
            <w:r>
              <w:rPr>
                <w:rFonts w:ascii="Calibri" w:hAnsi="Calibri" w:cs="Calibri"/>
                <w:sz w:val="22"/>
                <w:szCs w:val="22"/>
              </w:rPr>
              <w:t>Zdigitalizowane</w:t>
            </w:r>
            <w:proofErr w:type="spellEnd"/>
            <w:r>
              <w:rPr>
                <w:rFonts w:ascii="Calibri" w:hAnsi="Calibri" w:cs="Calibri"/>
                <w:sz w:val="22"/>
                <w:szCs w:val="22"/>
              </w:rPr>
              <w:t xml:space="preserve">…” (jeśli zasób będzie </w:t>
            </w:r>
            <w:proofErr w:type="spellStart"/>
            <w:r>
              <w:rPr>
                <w:rFonts w:ascii="Calibri" w:hAnsi="Calibri" w:cs="Calibri"/>
                <w:sz w:val="22"/>
                <w:szCs w:val="22"/>
              </w:rPr>
              <w:t>digitalizowany</w:t>
            </w:r>
            <w:proofErr w:type="spellEnd"/>
            <w:r>
              <w:rPr>
                <w:rFonts w:ascii="Calibri" w:hAnsi="Calibri" w:cs="Calibri"/>
                <w:sz w:val="22"/>
                <w:szCs w:val="22"/>
              </w:rPr>
              <w:t>, ale nie będzie udostępniony w ramach projektu).</w:t>
            </w:r>
          </w:p>
        </w:tc>
        <w:tc>
          <w:tcPr>
            <w:tcW w:w="1984" w:type="dxa"/>
          </w:tcPr>
          <w:p w:rsidR="00A15E54" w:rsidRDefault="00000000">
            <w:pPr>
              <w:jc w:val="center"/>
              <w:rPr>
                <w:rFonts w:asciiTheme="minorHAnsi" w:hAnsiTheme="minorHAnsi" w:cstheme="minorHAnsi"/>
                <w:sz w:val="22"/>
                <w:szCs w:val="22"/>
              </w:rPr>
            </w:pPr>
            <w:r>
              <w:rPr>
                <w:rFonts w:ascii="Calibri" w:hAnsi="Calibri" w:cs="Calibri"/>
                <w:sz w:val="22"/>
                <w:szCs w:val="22"/>
              </w:rPr>
              <w:t>Proszę o analizę i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 xml:space="preserve">Uwzględniono i zmodyfikowano w pkt. 2.3. </w:t>
            </w:r>
          </w:p>
          <w:p w:rsidR="00A15E54" w:rsidRDefault="00A15E54">
            <w:pPr>
              <w:jc w:val="center"/>
              <w:rPr>
                <w:rFonts w:asciiTheme="minorHAnsi" w:hAnsiTheme="minorHAnsi" w:cstheme="minorHAnsi"/>
                <w:sz w:val="22"/>
                <w:szCs w:val="22"/>
              </w:rPr>
            </w:pPr>
          </w:p>
          <w:p w:rsidR="00A15E54" w:rsidRDefault="00A15E54">
            <w:pPr>
              <w:rPr>
                <w:rFonts w:asciiTheme="minorHAnsi" w:hAnsiTheme="minorHAnsi" w:cstheme="minorHAnsi"/>
                <w:sz w:val="22"/>
                <w:szCs w:val="22"/>
              </w:rPr>
            </w:pP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 xml:space="preserve">2.4. Produkty końcowe projektu </w:t>
            </w:r>
          </w:p>
          <w:p w:rsidR="00A15E54" w:rsidRDefault="00000000">
            <w:pPr>
              <w:jc w:val="center"/>
              <w:rPr>
                <w:rFonts w:ascii="Calibri" w:hAnsi="Calibri" w:cs="Calibri"/>
                <w:color w:val="000000"/>
                <w:sz w:val="22"/>
                <w:szCs w:val="22"/>
              </w:rPr>
            </w:pPr>
            <w:r>
              <w:rPr>
                <w:rFonts w:ascii="Calibri" w:hAnsi="Calibri" w:cs="Calibri"/>
                <w:color w:val="000000"/>
                <w:sz w:val="22"/>
                <w:szCs w:val="22"/>
              </w:rPr>
              <w:lastRenderedPageBreak/>
              <w:t>7.1. Widok kooperacji aplikacji</w:t>
            </w:r>
          </w:p>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7.2. Kluczowe komponenty architektury rozwiązania</w:t>
            </w:r>
          </w:p>
        </w:tc>
        <w:tc>
          <w:tcPr>
            <w:tcW w:w="7371" w:type="dxa"/>
          </w:tcPr>
          <w:p w:rsidR="00A15E54" w:rsidRDefault="00000000">
            <w:pPr>
              <w:rPr>
                <w:rFonts w:ascii="Calibri" w:hAnsi="Calibri" w:cs="Calibri"/>
                <w:sz w:val="22"/>
                <w:szCs w:val="22"/>
              </w:rPr>
            </w:pPr>
            <w:r>
              <w:rPr>
                <w:rFonts w:ascii="Calibri" w:hAnsi="Calibri" w:cs="Calibri"/>
                <w:sz w:val="22"/>
                <w:szCs w:val="22"/>
              </w:rPr>
              <w:lastRenderedPageBreak/>
              <w:t xml:space="preserve">Lista produktów w zakresie systemów teleinformatycznych i API nie jest spójna z treściami </w:t>
            </w:r>
            <w:proofErr w:type="spellStart"/>
            <w:r>
              <w:rPr>
                <w:rFonts w:ascii="Calibri" w:hAnsi="Calibri" w:cs="Calibri"/>
                <w:sz w:val="22"/>
                <w:szCs w:val="22"/>
              </w:rPr>
              <w:t>pktu</w:t>
            </w:r>
            <w:proofErr w:type="spellEnd"/>
            <w:r>
              <w:rPr>
                <w:rFonts w:ascii="Calibri" w:hAnsi="Calibri" w:cs="Calibri"/>
                <w:sz w:val="22"/>
                <w:szCs w:val="22"/>
              </w:rPr>
              <w:t xml:space="preserve"> 7.1 i 7.2</w:t>
            </w:r>
          </w:p>
          <w:p w:rsidR="00A15E54" w:rsidRDefault="00A15E54">
            <w:pPr>
              <w:rPr>
                <w:rFonts w:ascii="Calibri" w:hAnsi="Calibri" w:cs="Calibri"/>
                <w:sz w:val="22"/>
                <w:szCs w:val="22"/>
              </w:rPr>
            </w:pPr>
          </w:p>
          <w:p w:rsidR="00A15E54" w:rsidRDefault="00000000">
            <w:pPr>
              <w:rPr>
                <w:rFonts w:ascii="Calibri" w:hAnsi="Calibri" w:cs="Calibri"/>
                <w:sz w:val="22"/>
                <w:szCs w:val="22"/>
              </w:rPr>
            </w:pPr>
            <w:r>
              <w:rPr>
                <w:rFonts w:ascii="Calibri" w:hAnsi="Calibri" w:cs="Calibri"/>
                <w:sz w:val="22"/>
                <w:szCs w:val="22"/>
              </w:rPr>
              <w:lastRenderedPageBreak/>
              <w:t>W pkt 2.4 produktami są:</w:t>
            </w:r>
          </w:p>
          <w:p w:rsidR="00A15E54" w:rsidRDefault="00000000">
            <w:pPr>
              <w:pStyle w:val="Akapitzlist"/>
              <w:numPr>
                <w:ilvl w:val="0"/>
                <w:numId w:val="14"/>
              </w:numPr>
              <w:rPr>
                <w:rFonts w:ascii="Calibri" w:hAnsi="Calibri" w:cs="Calibri"/>
                <w:sz w:val="22"/>
                <w:szCs w:val="22"/>
              </w:rPr>
            </w:pPr>
            <w:r>
              <w:rPr>
                <w:rFonts w:ascii="Calibri" w:hAnsi="Calibri" w:cs="Calibri"/>
                <w:sz w:val="22"/>
                <w:szCs w:val="22"/>
              </w:rPr>
              <w:t>Modyfikacja Portalu Dziedzictwo Muzyki Polskiej z modułem:</w:t>
            </w:r>
          </w:p>
          <w:p w:rsidR="00A15E54" w:rsidRDefault="00000000">
            <w:pPr>
              <w:pStyle w:val="Akapitzlist"/>
              <w:numPr>
                <w:ilvl w:val="1"/>
                <w:numId w:val="14"/>
              </w:numPr>
              <w:rPr>
                <w:rFonts w:ascii="Calibri" w:hAnsi="Calibri" w:cs="Calibri"/>
                <w:sz w:val="22"/>
                <w:szCs w:val="22"/>
              </w:rPr>
            </w:pPr>
            <w:r>
              <w:rPr>
                <w:rFonts w:ascii="Calibri" w:hAnsi="Calibri" w:cs="Calibri"/>
                <w:sz w:val="22"/>
                <w:szCs w:val="22"/>
              </w:rPr>
              <w:t>Moduł korespondencji</w:t>
            </w:r>
          </w:p>
          <w:p w:rsidR="00A15E54" w:rsidRDefault="00000000">
            <w:pPr>
              <w:pStyle w:val="Akapitzlist"/>
              <w:numPr>
                <w:ilvl w:val="0"/>
                <w:numId w:val="14"/>
              </w:numPr>
              <w:rPr>
                <w:rFonts w:ascii="Calibri" w:hAnsi="Calibri" w:cs="Calibri"/>
                <w:sz w:val="22"/>
                <w:szCs w:val="22"/>
              </w:rPr>
            </w:pPr>
            <w:r>
              <w:rPr>
                <w:rFonts w:ascii="Calibri" w:hAnsi="Calibri" w:cs="Calibri"/>
                <w:sz w:val="22"/>
                <w:szCs w:val="22"/>
              </w:rPr>
              <w:t xml:space="preserve">System Platforma </w:t>
            </w:r>
            <w:proofErr w:type="spellStart"/>
            <w:r>
              <w:rPr>
                <w:rFonts w:ascii="Calibri" w:hAnsi="Calibri" w:cs="Calibri"/>
                <w:sz w:val="22"/>
                <w:szCs w:val="22"/>
              </w:rPr>
              <w:t>VoD</w:t>
            </w:r>
            <w:proofErr w:type="spellEnd"/>
          </w:p>
          <w:p w:rsidR="00A15E54" w:rsidRDefault="00A15E54">
            <w:pPr>
              <w:rPr>
                <w:rFonts w:ascii="Calibri" w:hAnsi="Calibri" w:cs="Calibri"/>
                <w:sz w:val="22"/>
                <w:szCs w:val="22"/>
              </w:rPr>
            </w:pPr>
          </w:p>
          <w:p w:rsidR="00A15E54" w:rsidRDefault="00000000">
            <w:pPr>
              <w:rPr>
                <w:rFonts w:ascii="Calibri" w:hAnsi="Calibri" w:cs="Calibri"/>
                <w:sz w:val="22"/>
                <w:szCs w:val="22"/>
              </w:rPr>
            </w:pPr>
            <w:r>
              <w:rPr>
                <w:rFonts w:ascii="Calibri" w:hAnsi="Calibri" w:cs="Calibri"/>
                <w:sz w:val="22"/>
                <w:szCs w:val="22"/>
              </w:rPr>
              <w:t>W pkt 7.1 produktami są:</w:t>
            </w:r>
          </w:p>
          <w:p w:rsidR="00A15E54" w:rsidRDefault="00000000">
            <w:pPr>
              <w:pStyle w:val="Akapitzlist"/>
              <w:numPr>
                <w:ilvl w:val="0"/>
                <w:numId w:val="14"/>
              </w:numPr>
              <w:rPr>
                <w:rFonts w:ascii="Calibri" w:hAnsi="Calibri" w:cs="Calibri"/>
                <w:sz w:val="22"/>
                <w:szCs w:val="22"/>
              </w:rPr>
            </w:pPr>
            <w:r>
              <w:rPr>
                <w:rFonts w:ascii="Calibri" w:hAnsi="Calibri" w:cs="Calibri"/>
                <w:sz w:val="22"/>
                <w:szCs w:val="22"/>
              </w:rPr>
              <w:t>Modyfikacja Portalu Dziedzictwo Muzyki Polskiej</w:t>
            </w:r>
          </w:p>
          <w:p w:rsidR="00A15E54" w:rsidRDefault="00000000">
            <w:pPr>
              <w:pStyle w:val="Akapitzlist"/>
              <w:numPr>
                <w:ilvl w:val="0"/>
                <w:numId w:val="14"/>
              </w:numPr>
              <w:rPr>
                <w:rFonts w:ascii="Calibri" w:hAnsi="Calibri" w:cs="Calibri"/>
                <w:sz w:val="22"/>
                <w:szCs w:val="22"/>
              </w:rPr>
            </w:pPr>
            <w:r>
              <w:rPr>
                <w:rFonts w:ascii="Calibri" w:hAnsi="Calibri" w:cs="Calibri"/>
                <w:sz w:val="22"/>
                <w:szCs w:val="22"/>
              </w:rPr>
              <w:t xml:space="preserve">System Platforma </w:t>
            </w:r>
            <w:proofErr w:type="spellStart"/>
            <w:r>
              <w:rPr>
                <w:rFonts w:ascii="Calibri" w:hAnsi="Calibri" w:cs="Calibri"/>
                <w:sz w:val="22"/>
                <w:szCs w:val="22"/>
              </w:rPr>
              <w:t>VoD</w:t>
            </w:r>
            <w:proofErr w:type="spellEnd"/>
            <w:r>
              <w:rPr>
                <w:rFonts w:ascii="Calibri" w:hAnsi="Calibri" w:cs="Calibri"/>
                <w:sz w:val="22"/>
                <w:szCs w:val="22"/>
              </w:rPr>
              <w:t xml:space="preserve"> </w:t>
            </w:r>
          </w:p>
          <w:p w:rsidR="00A15E54" w:rsidRDefault="00000000">
            <w:pPr>
              <w:pStyle w:val="Akapitzlist"/>
              <w:numPr>
                <w:ilvl w:val="0"/>
                <w:numId w:val="14"/>
              </w:numPr>
              <w:rPr>
                <w:rFonts w:ascii="Calibri" w:hAnsi="Calibri" w:cs="Calibri"/>
                <w:sz w:val="22"/>
                <w:szCs w:val="22"/>
              </w:rPr>
            </w:pPr>
            <w:r>
              <w:rPr>
                <w:rFonts w:ascii="Calibri" w:hAnsi="Calibri" w:cs="Calibri"/>
                <w:sz w:val="22"/>
                <w:szCs w:val="22"/>
              </w:rPr>
              <w:t>System Moduł korespondencji</w:t>
            </w:r>
          </w:p>
          <w:p w:rsidR="00A15E54" w:rsidRDefault="00A15E54">
            <w:pPr>
              <w:rPr>
                <w:rFonts w:ascii="Calibri" w:hAnsi="Calibri" w:cs="Calibri"/>
                <w:sz w:val="22"/>
                <w:szCs w:val="22"/>
              </w:rPr>
            </w:pPr>
          </w:p>
          <w:p w:rsidR="00A15E54" w:rsidRDefault="00000000">
            <w:pPr>
              <w:rPr>
                <w:rFonts w:ascii="Calibri" w:hAnsi="Calibri" w:cs="Calibri"/>
                <w:sz w:val="22"/>
                <w:szCs w:val="22"/>
              </w:rPr>
            </w:pPr>
            <w:r>
              <w:rPr>
                <w:rFonts w:ascii="Calibri" w:hAnsi="Calibri" w:cs="Calibri"/>
                <w:sz w:val="22"/>
                <w:szCs w:val="22"/>
              </w:rPr>
              <w:t xml:space="preserve">W pkt 7.2 produktami </w:t>
            </w:r>
            <w:proofErr w:type="gramStart"/>
            <w:r>
              <w:rPr>
                <w:rFonts w:ascii="Calibri" w:hAnsi="Calibri" w:cs="Calibri"/>
                <w:sz w:val="22"/>
                <w:szCs w:val="22"/>
              </w:rPr>
              <w:t>są::</w:t>
            </w:r>
            <w:proofErr w:type="gramEnd"/>
          </w:p>
          <w:p w:rsidR="00A15E54" w:rsidRDefault="00000000">
            <w:pPr>
              <w:pStyle w:val="Akapitzlist"/>
              <w:numPr>
                <w:ilvl w:val="0"/>
                <w:numId w:val="14"/>
              </w:numPr>
              <w:rPr>
                <w:rFonts w:ascii="Calibri" w:hAnsi="Calibri" w:cs="Calibri"/>
                <w:sz w:val="22"/>
                <w:szCs w:val="22"/>
              </w:rPr>
            </w:pPr>
            <w:r>
              <w:rPr>
                <w:rFonts w:ascii="Calibri" w:hAnsi="Calibri" w:cs="Calibri"/>
                <w:sz w:val="22"/>
                <w:szCs w:val="22"/>
              </w:rPr>
              <w:t>Modyfikacja Portalu Dziedzictwo Muzyki Polskiej z modułami:</w:t>
            </w:r>
          </w:p>
          <w:p w:rsidR="00A15E54" w:rsidRDefault="00000000">
            <w:pPr>
              <w:pStyle w:val="Akapitzlist"/>
              <w:numPr>
                <w:ilvl w:val="1"/>
                <w:numId w:val="14"/>
              </w:numPr>
              <w:rPr>
                <w:rFonts w:ascii="Calibri" w:hAnsi="Calibri" w:cs="Calibri"/>
                <w:sz w:val="22"/>
                <w:szCs w:val="22"/>
              </w:rPr>
            </w:pPr>
            <w:r>
              <w:rPr>
                <w:rFonts w:ascii="Calibri" w:hAnsi="Calibri" w:cs="Calibri"/>
                <w:sz w:val="22"/>
                <w:szCs w:val="22"/>
              </w:rPr>
              <w:t xml:space="preserve">Moduł Platforma </w:t>
            </w:r>
            <w:proofErr w:type="spellStart"/>
            <w:r>
              <w:rPr>
                <w:rFonts w:ascii="Calibri" w:hAnsi="Calibri" w:cs="Calibri"/>
                <w:sz w:val="22"/>
                <w:szCs w:val="22"/>
              </w:rPr>
              <w:t>VoD</w:t>
            </w:r>
            <w:proofErr w:type="spellEnd"/>
            <w:r>
              <w:rPr>
                <w:rFonts w:ascii="Calibri" w:hAnsi="Calibri" w:cs="Calibri"/>
                <w:sz w:val="22"/>
                <w:szCs w:val="22"/>
              </w:rPr>
              <w:t xml:space="preserve"> </w:t>
            </w:r>
          </w:p>
          <w:p w:rsidR="00A15E54" w:rsidRDefault="00000000">
            <w:pPr>
              <w:pStyle w:val="Akapitzlist"/>
              <w:numPr>
                <w:ilvl w:val="1"/>
                <w:numId w:val="14"/>
              </w:numPr>
              <w:rPr>
                <w:rFonts w:ascii="Calibri" w:hAnsi="Calibri" w:cs="Calibri"/>
                <w:sz w:val="22"/>
                <w:szCs w:val="22"/>
              </w:rPr>
            </w:pPr>
            <w:r>
              <w:rPr>
                <w:rFonts w:ascii="Calibri" w:hAnsi="Calibri" w:cs="Calibri"/>
                <w:sz w:val="22"/>
                <w:szCs w:val="22"/>
              </w:rPr>
              <w:t>Moduł korespondencji</w:t>
            </w:r>
          </w:p>
          <w:p w:rsidR="00A15E54" w:rsidRDefault="00A15E54">
            <w:pPr>
              <w:rPr>
                <w:rFonts w:ascii="Calibri" w:hAnsi="Calibri" w:cs="Calibri"/>
                <w:sz w:val="22"/>
                <w:szCs w:val="22"/>
              </w:rPr>
            </w:pPr>
          </w:p>
          <w:p w:rsidR="00A15E54" w:rsidRDefault="00000000">
            <w:pPr>
              <w:rPr>
                <w:rFonts w:ascii="Calibri" w:hAnsi="Calibri" w:cs="Calibri"/>
                <w:sz w:val="22"/>
                <w:szCs w:val="22"/>
              </w:rPr>
            </w:pPr>
            <w:r>
              <w:rPr>
                <w:rFonts w:ascii="Calibri" w:hAnsi="Calibri" w:cs="Calibri"/>
                <w:sz w:val="22"/>
                <w:szCs w:val="22"/>
              </w:rPr>
              <w:t xml:space="preserve">Należy </w:t>
            </w:r>
            <w:proofErr w:type="spellStart"/>
            <w:r>
              <w:rPr>
                <w:rFonts w:ascii="Calibri" w:hAnsi="Calibri" w:cs="Calibri"/>
                <w:sz w:val="22"/>
                <w:szCs w:val="22"/>
              </w:rPr>
              <w:t>uspójnić</w:t>
            </w:r>
            <w:proofErr w:type="spellEnd"/>
            <w:r>
              <w:rPr>
                <w:rFonts w:ascii="Calibri" w:hAnsi="Calibri" w:cs="Calibri"/>
                <w:sz w:val="22"/>
                <w:szCs w:val="22"/>
              </w:rPr>
              <w:t xml:space="preserve"> nazwy produktów w całym dokumencie i nie stosować synonimów.</w:t>
            </w:r>
          </w:p>
          <w:p w:rsidR="00A15E54" w:rsidRDefault="00A15E54">
            <w:pPr>
              <w:rPr>
                <w:rFonts w:ascii="Calibri" w:hAnsi="Calibri" w:cs="Calibri"/>
                <w:sz w:val="22"/>
                <w:szCs w:val="22"/>
              </w:rPr>
            </w:pPr>
          </w:p>
          <w:p w:rsidR="00A15E54" w:rsidRDefault="00000000">
            <w:pPr>
              <w:rPr>
                <w:rFonts w:ascii="Calibri" w:hAnsi="Calibri" w:cs="Calibri"/>
                <w:sz w:val="22"/>
                <w:szCs w:val="22"/>
              </w:rPr>
            </w:pPr>
            <w:r>
              <w:rPr>
                <w:rFonts w:ascii="Calibri" w:hAnsi="Calibri" w:cs="Calibri"/>
                <w:sz w:val="22"/>
                <w:szCs w:val="22"/>
              </w:rPr>
              <w:t>Jeśli moduł korespondencji jest modułem wewnętrznym systemu, nie wykazuje się przepływu pomiędzy nimi i jednocześnie typu interfejsu, który dotyczy tylko wymiany danych pomiędzy systemami (jeśli zapis dot. PDMW w 2.4 jest poprawny, z 2.4 należy usunąć „Interfejs API modułu korespondencji”)</w:t>
            </w:r>
          </w:p>
        </w:tc>
        <w:tc>
          <w:tcPr>
            <w:tcW w:w="1984" w:type="dxa"/>
          </w:tcPr>
          <w:p w:rsidR="00A15E54" w:rsidRDefault="00000000">
            <w:pPr>
              <w:jc w:val="center"/>
              <w:rPr>
                <w:rFonts w:ascii="Calibri" w:hAnsi="Calibri" w:cs="Calibri"/>
                <w:sz w:val="22"/>
                <w:szCs w:val="22"/>
              </w:rPr>
            </w:pPr>
            <w:r>
              <w:rPr>
                <w:rFonts w:ascii="Calibri" w:hAnsi="Calibri" w:cs="Calibri"/>
                <w:sz w:val="22"/>
                <w:szCs w:val="22"/>
              </w:rPr>
              <w:lastRenderedPageBreak/>
              <w:t>Proszę o analizę i korektę opisu założeń</w:t>
            </w:r>
          </w:p>
        </w:tc>
        <w:tc>
          <w:tcPr>
            <w:tcW w:w="2919" w:type="dxa"/>
          </w:tcPr>
          <w:p w:rsidR="00276DD5" w:rsidRDefault="00000000">
            <w:pPr>
              <w:rPr>
                <w:rFonts w:ascii="Calibri" w:hAnsi="Calibri" w:cs="Calibri"/>
                <w:sz w:val="22"/>
                <w:szCs w:val="22"/>
              </w:rPr>
            </w:pPr>
            <w:r>
              <w:rPr>
                <w:rFonts w:asciiTheme="minorHAnsi" w:hAnsiTheme="minorHAnsi" w:cstheme="minorHAnsi"/>
                <w:sz w:val="22"/>
                <w:szCs w:val="22"/>
              </w:rPr>
              <w:t xml:space="preserve">Zmodyfikowano zgodnie z poniższym: </w:t>
            </w:r>
          </w:p>
          <w:p w:rsidR="00A15E54" w:rsidRDefault="00000000">
            <w:pPr>
              <w:rPr>
                <w:rFonts w:ascii="Calibri" w:hAnsi="Calibri" w:cs="Calibri"/>
                <w:sz w:val="22"/>
                <w:szCs w:val="22"/>
              </w:rPr>
            </w:pPr>
            <w:r>
              <w:rPr>
                <w:rFonts w:ascii="Calibri" w:hAnsi="Calibri" w:cs="Calibri"/>
                <w:sz w:val="22"/>
                <w:szCs w:val="22"/>
              </w:rPr>
              <w:t>produktami są:</w:t>
            </w:r>
          </w:p>
          <w:p w:rsidR="00A15E54" w:rsidRDefault="00000000">
            <w:pPr>
              <w:pStyle w:val="Akapitzlist"/>
              <w:numPr>
                <w:ilvl w:val="0"/>
                <w:numId w:val="14"/>
              </w:numPr>
              <w:rPr>
                <w:rFonts w:ascii="Calibri" w:hAnsi="Calibri" w:cs="Calibri"/>
                <w:sz w:val="22"/>
                <w:szCs w:val="22"/>
              </w:rPr>
            </w:pPr>
            <w:r>
              <w:rPr>
                <w:rFonts w:ascii="Calibri" w:hAnsi="Calibri" w:cs="Calibri"/>
                <w:sz w:val="22"/>
                <w:szCs w:val="22"/>
              </w:rPr>
              <w:lastRenderedPageBreak/>
              <w:t>Modyfikacja Portalu Dziedzictwo Muzyki Polskiej z modułem:</w:t>
            </w:r>
          </w:p>
          <w:p w:rsidR="00A15E54" w:rsidRDefault="00000000">
            <w:pPr>
              <w:pStyle w:val="Akapitzlist"/>
              <w:numPr>
                <w:ilvl w:val="1"/>
                <w:numId w:val="14"/>
              </w:numPr>
              <w:rPr>
                <w:rFonts w:ascii="Calibri" w:hAnsi="Calibri" w:cs="Calibri"/>
                <w:sz w:val="22"/>
                <w:szCs w:val="22"/>
              </w:rPr>
            </w:pPr>
            <w:r>
              <w:rPr>
                <w:rFonts w:ascii="Calibri" w:hAnsi="Calibri" w:cs="Calibri"/>
                <w:sz w:val="22"/>
                <w:szCs w:val="22"/>
              </w:rPr>
              <w:t>Moduł korespondencji</w:t>
            </w:r>
          </w:p>
          <w:p w:rsidR="00A15E54" w:rsidRDefault="00000000">
            <w:pPr>
              <w:pStyle w:val="Akapitzlist"/>
              <w:numPr>
                <w:ilvl w:val="0"/>
                <w:numId w:val="14"/>
              </w:numPr>
              <w:rPr>
                <w:rFonts w:ascii="Calibri" w:hAnsi="Calibri" w:cs="Calibri"/>
                <w:sz w:val="22"/>
                <w:szCs w:val="22"/>
              </w:rPr>
            </w:pPr>
            <w:r>
              <w:rPr>
                <w:rFonts w:ascii="Calibri" w:hAnsi="Calibri" w:cs="Calibri"/>
                <w:sz w:val="22"/>
                <w:szCs w:val="22"/>
              </w:rPr>
              <w:t xml:space="preserve">System Platforma </w:t>
            </w:r>
            <w:proofErr w:type="spellStart"/>
            <w:r>
              <w:rPr>
                <w:rFonts w:ascii="Calibri" w:hAnsi="Calibri" w:cs="Calibri"/>
                <w:sz w:val="22"/>
                <w:szCs w:val="22"/>
              </w:rPr>
              <w:t>VoD</w:t>
            </w:r>
            <w:proofErr w:type="spellEnd"/>
          </w:p>
          <w:p w:rsidR="00A15E54" w:rsidRDefault="00A15E54">
            <w:pPr>
              <w:rPr>
                <w:rFonts w:ascii="Calibri" w:hAnsi="Calibri" w:cs="Calibri"/>
                <w:sz w:val="22"/>
                <w:szCs w:val="22"/>
              </w:rPr>
            </w:pPr>
          </w:p>
          <w:p w:rsidR="00A15E54" w:rsidRDefault="00A15E54">
            <w:pPr>
              <w:rPr>
                <w:rFonts w:asciiTheme="minorHAnsi" w:hAnsiTheme="minorHAnsi" w:cstheme="minorHAnsi"/>
                <w:sz w:val="22"/>
                <w:szCs w:val="22"/>
              </w:rPr>
            </w:pPr>
          </w:p>
          <w:p w:rsidR="00A15E54" w:rsidRDefault="00A15E54">
            <w:pPr>
              <w:jc w:val="center"/>
              <w:rPr>
                <w:rFonts w:asciiTheme="minorHAnsi" w:hAnsiTheme="minorHAnsi" w:cstheme="minorHAnsi"/>
                <w:sz w:val="22"/>
                <w:szCs w:val="22"/>
              </w:rPr>
            </w:pP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 xml:space="preserve">2.4. Produkty końcowe projektu </w:t>
            </w:r>
          </w:p>
          <w:p w:rsidR="00A15E54" w:rsidRDefault="00A15E54">
            <w:pPr>
              <w:jc w:val="center"/>
              <w:rPr>
                <w:rFonts w:asciiTheme="minorHAnsi" w:hAnsiTheme="minorHAnsi" w:cstheme="minorHAnsi"/>
                <w:sz w:val="22"/>
                <w:szCs w:val="22"/>
              </w:rPr>
            </w:pPr>
          </w:p>
        </w:tc>
        <w:tc>
          <w:tcPr>
            <w:tcW w:w="7371" w:type="dxa"/>
          </w:tcPr>
          <w:p w:rsidR="00A15E54" w:rsidRDefault="00000000">
            <w:pPr>
              <w:rPr>
                <w:rFonts w:ascii="Calibri" w:hAnsi="Calibri" w:cs="Calibri"/>
                <w:sz w:val="22"/>
                <w:szCs w:val="22"/>
              </w:rPr>
            </w:pPr>
            <w:r>
              <w:rPr>
                <w:rFonts w:ascii="Calibri" w:hAnsi="Calibri" w:cs="Calibri"/>
                <w:sz w:val="22"/>
                <w:szCs w:val="22"/>
              </w:rPr>
              <w:t>Należy zweryfikować zasadność tworzenia własnej platformy VOD zamiast skorzystać z istniejących rozwiązań.</w:t>
            </w:r>
          </w:p>
        </w:tc>
        <w:tc>
          <w:tcPr>
            <w:tcW w:w="1984" w:type="dxa"/>
          </w:tcPr>
          <w:p w:rsidR="00A15E54" w:rsidRDefault="00000000">
            <w:pPr>
              <w:jc w:val="center"/>
              <w:rPr>
                <w:rFonts w:ascii="Calibri" w:hAnsi="Calibri" w:cs="Calibri"/>
                <w:sz w:val="22"/>
                <w:szCs w:val="22"/>
              </w:rPr>
            </w:pPr>
            <w:r>
              <w:rPr>
                <w:rFonts w:ascii="Calibri" w:hAnsi="Calibri" w:cs="Calibri"/>
                <w:sz w:val="22"/>
                <w:szCs w:val="22"/>
              </w:rPr>
              <w:t>Proszę o analizę i wyjaśnienie.</w:t>
            </w:r>
          </w:p>
        </w:tc>
        <w:tc>
          <w:tcPr>
            <w:tcW w:w="2919" w:type="dxa"/>
          </w:tcPr>
          <w:p w:rsidR="00A15E54" w:rsidRDefault="00000000">
            <w:pPr>
              <w:rPr>
                <w:rFonts w:asciiTheme="minorHAnsi" w:hAnsiTheme="minorHAnsi" w:cstheme="minorHAnsi"/>
                <w:sz w:val="22"/>
                <w:szCs w:val="22"/>
              </w:rPr>
            </w:pPr>
            <w:r>
              <w:rPr>
                <w:rFonts w:asciiTheme="minorHAnsi" w:hAnsiTheme="minorHAnsi" w:cstheme="minorHAnsi"/>
                <w:sz w:val="22"/>
                <w:szCs w:val="22"/>
              </w:rPr>
              <w:t xml:space="preserve">Projekt nie dotyczy </w:t>
            </w:r>
            <w:r w:rsidR="00276DD5">
              <w:rPr>
                <w:rFonts w:asciiTheme="minorHAnsi" w:hAnsiTheme="minorHAnsi" w:cstheme="minorHAnsi"/>
                <w:sz w:val="22"/>
                <w:szCs w:val="22"/>
              </w:rPr>
              <w:t xml:space="preserve">jedynie </w:t>
            </w:r>
            <w:r>
              <w:rPr>
                <w:rFonts w:asciiTheme="minorHAnsi" w:hAnsiTheme="minorHAnsi" w:cstheme="minorHAnsi"/>
                <w:sz w:val="22"/>
                <w:szCs w:val="22"/>
              </w:rPr>
              <w:t xml:space="preserve">budowy platformy VOD, lecz budowy repozytorium audiowizualnego z funkcjami VOD. Uwaga odnosząca się do zasadności budowy własnej „platformy VOD” nie oddaje rzeczywistego charakteru planowanego rozwiązania. Projekt nie zakłada stworzenia kolejnego serwisu </w:t>
            </w:r>
            <w:proofErr w:type="spellStart"/>
            <w:r>
              <w:rPr>
                <w:rFonts w:asciiTheme="minorHAnsi" w:hAnsiTheme="minorHAnsi" w:cstheme="minorHAnsi"/>
                <w:sz w:val="22"/>
                <w:szCs w:val="22"/>
              </w:rPr>
              <w:t>streamingowego</w:t>
            </w:r>
            <w:proofErr w:type="spellEnd"/>
            <w:r>
              <w:rPr>
                <w:rFonts w:asciiTheme="minorHAnsi" w:hAnsiTheme="minorHAnsi" w:cstheme="minorHAnsi"/>
                <w:sz w:val="22"/>
                <w:szCs w:val="22"/>
              </w:rPr>
              <w:t xml:space="preserve"> służącego wyłącznie odtwarzaniu materiałów wideo. </w:t>
            </w:r>
            <w:r>
              <w:rPr>
                <w:rFonts w:asciiTheme="minorHAnsi" w:hAnsiTheme="minorHAnsi" w:cstheme="minorHAnsi"/>
                <w:sz w:val="22"/>
                <w:szCs w:val="22"/>
              </w:rPr>
              <w:lastRenderedPageBreak/>
              <w:t xml:space="preserve">Przedmiotem projektu jest budowa specjalistycznego repozytorium cyfrowego zasobów audiowizualnych, którego odtwarzania materiałów będzie tylko jednym z elementów. Repozytorium będzie pełnić funkcję infrastruktury dla nauki i danych, umożliwiającej nie tylko dostęp do nagrań, ale również ich analizę, przeszukiwanie, porównywanie oraz wykorzystanie w działalności naukowej, edukacyjnej i badawczej. Zasoby zostaną wzbogacone o opisy merytoryczne, metadane, transkrypcje, tłumaczenia, identyfikację wykonawców, utworów i wydarzeń oraz powiązania z innymi obiektami cyfrowymi. Takie funkcjonalności nie są dostępne w standardowych rozwiązaniach VOD i nie mogą zostać osiągnięte poprzez proste wykorzystanie istniejących platform </w:t>
            </w:r>
            <w:proofErr w:type="spellStart"/>
            <w:r>
              <w:rPr>
                <w:rFonts w:asciiTheme="minorHAnsi" w:hAnsiTheme="minorHAnsi" w:cstheme="minorHAnsi"/>
                <w:sz w:val="22"/>
                <w:szCs w:val="22"/>
              </w:rPr>
              <w:t>streamingowych</w:t>
            </w:r>
            <w:proofErr w:type="spellEnd"/>
            <w:r>
              <w:rPr>
                <w:rFonts w:asciiTheme="minorHAnsi" w:hAnsiTheme="minorHAnsi" w:cstheme="minorHAnsi"/>
                <w:sz w:val="22"/>
                <w:szCs w:val="22"/>
              </w:rPr>
              <w:t xml:space="preserve">. Budowa własnej infrastruktury wynika z konieczności zapewnienia pełnej kontroli nad zasobami, ich długoterminowym przechowywaniem, rozwojem </w:t>
            </w:r>
            <w:r>
              <w:rPr>
                <w:rFonts w:asciiTheme="minorHAnsi" w:hAnsiTheme="minorHAnsi" w:cstheme="minorHAnsi"/>
                <w:sz w:val="22"/>
                <w:szCs w:val="22"/>
              </w:rPr>
              <w:lastRenderedPageBreak/>
              <w:t>metadanych, integracją z API oraz przygotowaniem danych do zastosowań badawczych, w tym w obszarze humanistyki cyfrowej i metod wykorzystujących sztuczną inteligencję. Projekt odpowiada zatem na rzeczywistą lukę infrastrukturalną w zakresie zarządzania i udostępniania zasobów audiowizualnych NIFC.</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 xml:space="preserve">2.4. Produkty końcowe projektu </w:t>
            </w:r>
          </w:p>
          <w:p w:rsidR="00A15E54" w:rsidRDefault="00A15E54">
            <w:pPr>
              <w:jc w:val="center"/>
              <w:rPr>
                <w:rFonts w:asciiTheme="minorHAnsi" w:hAnsiTheme="minorHAnsi" w:cstheme="minorHAnsi"/>
                <w:sz w:val="22"/>
                <w:szCs w:val="22"/>
              </w:rPr>
            </w:pPr>
          </w:p>
        </w:tc>
        <w:tc>
          <w:tcPr>
            <w:tcW w:w="7371" w:type="dxa"/>
          </w:tcPr>
          <w:p w:rsidR="00A15E54" w:rsidRDefault="00000000">
            <w:pPr>
              <w:rPr>
                <w:rFonts w:ascii="Calibri" w:hAnsi="Calibri" w:cs="Calibri"/>
                <w:sz w:val="22"/>
                <w:szCs w:val="22"/>
              </w:rPr>
            </w:pPr>
            <w:r>
              <w:rPr>
                <w:rFonts w:ascii="Calibri" w:hAnsi="Calibri" w:cs="Calibri"/>
                <w:sz w:val="22"/>
                <w:szCs w:val="22"/>
              </w:rPr>
              <w:t>Nie wykazano obligatoryjnego produktu „Raport z inicjalnego testu prywatności”</w:t>
            </w:r>
          </w:p>
          <w:p w:rsidR="00A15E54" w:rsidRDefault="00000000">
            <w:pPr>
              <w:rPr>
                <w:rFonts w:ascii="Calibri" w:hAnsi="Calibri" w:cs="Calibri"/>
                <w:sz w:val="22"/>
                <w:szCs w:val="22"/>
              </w:rPr>
            </w:pPr>
            <w:r>
              <w:rPr>
                <w:rFonts w:ascii="Calibri" w:hAnsi="Calibri" w:cs="Calibri"/>
                <w:sz w:val="22"/>
                <w:szCs w:val="22"/>
              </w:rPr>
              <w:t>W ramach projektu powinny być przeprowadzone testy prywatności, tj. przeprowadzony inicjalny test prywatności (przeprowadzany na etapie projektowania założeń projektu) oraz dodatkowo przeprowadzony weryfikacyjny test prywatności (przeprowadzany w trakcie realizacji projektu</w:t>
            </w:r>
          </w:p>
          <w:p w:rsidR="00A15E54" w:rsidRDefault="00000000">
            <w:pPr>
              <w:rPr>
                <w:rFonts w:ascii="Calibri" w:hAnsi="Calibri" w:cs="Calibri"/>
                <w:sz w:val="22"/>
                <w:szCs w:val="22"/>
              </w:rPr>
            </w:pPr>
            <w:r>
              <w:rPr>
                <w:rFonts w:ascii="Calibri" w:hAnsi="Calibri" w:cs="Calibri"/>
                <w:sz w:val="22"/>
                <w:szCs w:val="22"/>
              </w:rPr>
              <w:t xml:space="preserve">Termin osiągnięcia kamienia milowego związanego z przeprowadzaniem: </w:t>
            </w:r>
          </w:p>
          <w:p w:rsidR="00A15E54" w:rsidRDefault="00000000">
            <w:pPr>
              <w:pStyle w:val="Akapitzlist"/>
              <w:numPr>
                <w:ilvl w:val="0"/>
                <w:numId w:val="15"/>
              </w:numPr>
              <w:rPr>
                <w:rFonts w:ascii="Calibri" w:hAnsi="Calibri" w:cs="Calibri"/>
                <w:sz w:val="22"/>
                <w:szCs w:val="22"/>
              </w:rPr>
            </w:pPr>
            <w:r>
              <w:rPr>
                <w:rFonts w:ascii="Calibri" w:hAnsi="Calibri" w:cs="Calibri"/>
                <w:sz w:val="22"/>
                <w:szCs w:val="22"/>
              </w:rPr>
              <w:t xml:space="preserve">inicjalnego testu prywatności powinien być wyznaczony w pierwszym miesiącu realizacji projektu; </w:t>
            </w:r>
          </w:p>
          <w:p w:rsidR="00A15E54" w:rsidRDefault="00000000">
            <w:pPr>
              <w:ind w:left="360"/>
              <w:rPr>
                <w:rFonts w:ascii="Calibri" w:hAnsi="Calibri" w:cs="Calibri"/>
                <w:sz w:val="22"/>
                <w:szCs w:val="22"/>
              </w:rPr>
            </w:pPr>
            <w:r>
              <w:rPr>
                <w:rFonts w:ascii="Calibri" w:hAnsi="Calibri" w:cs="Calibri"/>
                <w:sz w:val="22"/>
                <w:szCs w:val="22"/>
              </w:rPr>
              <w:t>Inicjalny test prywatności powinien zostać przeprowadzony w fazie planowania projektu W fazie realizacji projektu (dokument opisu założeń dotyczy wyłącznie tej fazy), powinien być badany fakt przeprowadzenia tego testu na podstawie raportu podsumowującego (tzw. Raportu z inicjalnego testu prywatności) stanowiącego jeden z dokumentów specjalistycznych, analitycznych projektu będących podstawą jego realizacji,</w:t>
            </w:r>
          </w:p>
          <w:p w:rsidR="00A15E54" w:rsidRDefault="00000000">
            <w:pPr>
              <w:pStyle w:val="Akapitzlist"/>
              <w:numPr>
                <w:ilvl w:val="0"/>
                <w:numId w:val="15"/>
              </w:numPr>
              <w:rPr>
                <w:rFonts w:ascii="Calibri" w:hAnsi="Calibri" w:cs="Calibri"/>
                <w:sz w:val="22"/>
                <w:szCs w:val="22"/>
              </w:rPr>
            </w:pPr>
            <w:r>
              <w:rPr>
                <w:rFonts w:ascii="Calibri" w:hAnsi="Calibri" w:cs="Calibri"/>
                <w:sz w:val="22"/>
                <w:szCs w:val="22"/>
              </w:rPr>
              <w:t>weryfikacyjnego testu prywatności powinien być wyznaczony najpóźniej 3 miesiące przed oddaniem do użytkowania pierwszego z systemów teleinformatycznych (modyfikacji lub budowy) będących produktem projektu przetwarzającego dane osobowe;</w:t>
            </w:r>
          </w:p>
          <w:p w:rsidR="00A15E54" w:rsidRDefault="00000000">
            <w:pPr>
              <w:ind w:left="360"/>
              <w:rPr>
                <w:rFonts w:ascii="Calibri" w:hAnsi="Calibri" w:cs="Calibri"/>
                <w:sz w:val="22"/>
                <w:szCs w:val="22"/>
              </w:rPr>
            </w:pPr>
            <w:r>
              <w:rPr>
                <w:rFonts w:ascii="Calibri" w:hAnsi="Calibri" w:cs="Calibri"/>
                <w:sz w:val="22"/>
                <w:szCs w:val="22"/>
              </w:rPr>
              <w:t>Weryfikacyjne testy prywatności powinny być przeprowadzone w fazie realizacji projektu i ma na celu zweryfikowanie, w kontekście zmieniającego się otoczenia prawnego, aktualności wyników inicjalnego testu prywatności.</w:t>
            </w:r>
          </w:p>
        </w:tc>
        <w:tc>
          <w:tcPr>
            <w:tcW w:w="1984" w:type="dxa"/>
          </w:tcPr>
          <w:p w:rsidR="00A15E54" w:rsidRDefault="00000000">
            <w:pPr>
              <w:jc w:val="center"/>
              <w:rPr>
                <w:rFonts w:ascii="Calibri" w:hAnsi="Calibri" w:cs="Calibri"/>
                <w:sz w:val="22"/>
                <w:szCs w:val="22"/>
              </w:rPr>
            </w:pPr>
            <w:r>
              <w:rPr>
                <w:rFonts w:ascii="Calibri" w:hAnsi="Calibri" w:cs="Calibri"/>
                <w:sz w:val="22"/>
                <w:szCs w:val="22"/>
              </w:rPr>
              <w:t>Proszę o analizę i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Uwzględniono uwagę i uzupełniono OZPI.</w:t>
            </w:r>
          </w:p>
        </w:tc>
      </w:tr>
      <w:tr w:rsidR="00A15E54">
        <w:trPr>
          <w:trHeight w:val="1426"/>
        </w:trPr>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Calibri" w:hAnsi="Calibri" w:cs="Calibri"/>
                <w:sz w:val="22"/>
                <w:szCs w:val="22"/>
              </w:rPr>
            </w:pPr>
            <w:r>
              <w:rPr>
                <w:rFonts w:asciiTheme="minorHAnsi" w:hAnsiTheme="minorHAnsi" w:cstheme="minorHAnsi"/>
                <w:sz w:val="22"/>
                <w:szCs w:val="22"/>
              </w:rPr>
              <w:t>2.4. Produkty końcowe projektu / 3. Kamienie milowe</w:t>
            </w:r>
          </w:p>
        </w:tc>
        <w:tc>
          <w:tcPr>
            <w:tcW w:w="7371" w:type="dxa"/>
          </w:tcPr>
          <w:p w:rsidR="00A15E54" w:rsidRDefault="00000000">
            <w:pPr>
              <w:rPr>
                <w:rFonts w:ascii="Calibri" w:hAnsi="Calibri" w:cs="Calibri"/>
                <w:sz w:val="22"/>
                <w:szCs w:val="22"/>
              </w:rPr>
            </w:pPr>
            <w:r>
              <w:rPr>
                <w:rFonts w:ascii="Calibri" w:hAnsi="Calibri" w:cs="Calibri"/>
                <w:sz w:val="22"/>
                <w:szCs w:val="22"/>
              </w:rPr>
              <w:t>Należy zweryfikować spójność planowanych dat wdrożenia produktów końcowych i osiągnięcia kamieni milowych, np. produkt „Zakupione elementy infrastruktury” ma datę wdrożenia 05-2029, natomiast KM „Zakupiony i przetestowany sprzęt” jest planowany do osiągnięcia 2027-12-31.</w:t>
            </w:r>
          </w:p>
        </w:tc>
        <w:tc>
          <w:tcPr>
            <w:tcW w:w="1984" w:type="dxa"/>
          </w:tcPr>
          <w:p w:rsidR="00A15E54" w:rsidRDefault="00000000">
            <w:pPr>
              <w:jc w:val="center"/>
              <w:rPr>
                <w:rFonts w:ascii="Calibri" w:hAnsi="Calibri" w:cs="Calibri"/>
                <w:sz w:val="22"/>
                <w:szCs w:val="22"/>
              </w:rPr>
            </w:pPr>
            <w:r>
              <w:rPr>
                <w:rFonts w:ascii="Calibri" w:hAnsi="Calibri" w:cs="Calibri"/>
                <w:sz w:val="22"/>
                <w:szCs w:val="22"/>
              </w:rPr>
              <w:t>Proszę o analizę i korektę opisu założeń</w:t>
            </w:r>
          </w:p>
        </w:tc>
        <w:tc>
          <w:tcPr>
            <w:tcW w:w="2919" w:type="dxa"/>
          </w:tcPr>
          <w:p w:rsidR="00A15E54" w:rsidRPr="00276DD5" w:rsidRDefault="00000000" w:rsidP="00276DD5">
            <w:pPr>
              <w:shd w:val="clear" w:color="auto" w:fill="FFFFFF"/>
              <w:jc w:val="center"/>
              <w:rPr>
                <w:rFonts w:asciiTheme="minorHAnsi" w:hAnsiTheme="minorHAnsi" w:cstheme="minorHAnsi"/>
                <w:color w:val="000000"/>
              </w:rPr>
            </w:pPr>
            <w:r w:rsidRPr="00276DD5">
              <w:rPr>
                <w:rFonts w:asciiTheme="minorHAnsi" w:hAnsiTheme="minorHAnsi" w:cstheme="minorHAnsi"/>
                <w:color w:val="000000"/>
              </w:rPr>
              <w:t>Uwzględniono i zmodyfikowano w pkt. 3.</w:t>
            </w:r>
          </w:p>
          <w:p w:rsidR="00A15E54" w:rsidRDefault="00A15E54">
            <w:pPr>
              <w:jc w:val="center"/>
              <w:rPr>
                <w:rFonts w:asciiTheme="minorHAnsi" w:hAnsiTheme="minorHAnsi" w:cstheme="minorHAnsi"/>
                <w:sz w:val="22"/>
                <w:szCs w:val="22"/>
              </w:rPr>
            </w:pP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Calibri" w:hAnsi="Calibri" w:cs="Calibri"/>
                <w:color w:val="000000"/>
                <w:sz w:val="22"/>
                <w:szCs w:val="22"/>
              </w:rPr>
            </w:pPr>
            <w:r>
              <w:rPr>
                <w:rFonts w:asciiTheme="minorHAnsi" w:hAnsiTheme="minorHAnsi" w:cstheme="minorHAnsi"/>
                <w:sz w:val="22"/>
                <w:szCs w:val="22"/>
              </w:rPr>
              <w:t>3. Kamienie milowe</w:t>
            </w:r>
            <w:r>
              <w:rPr>
                <w:rFonts w:ascii="Calibri" w:hAnsi="Calibri" w:cs="Calibri"/>
                <w:color w:val="000000"/>
                <w:sz w:val="22"/>
                <w:szCs w:val="22"/>
              </w:rPr>
              <w:t xml:space="preserve"> </w:t>
            </w:r>
          </w:p>
          <w:p w:rsidR="00A15E54" w:rsidRDefault="00000000">
            <w:pPr>
              <w:jc w:val="center"/>
              <w:rPr>
                <w:rFonts w:ascii="Calibri" w:hAnsi="Calibri" w:cs="Calibri"/>
                <w:color w:val="000000"/>
                <w:sz w:val="22"/>
                <w:szCs w:val="22"/>
              </w:rPr>
            </w:pPr>
            <w:r>
              <w:rPr>
                <w:rFonts w:ascii="Calibri" w:hAnsi="Calibri" w:cs="Calibri"/>
                <w:color w:val="000000"/>
                <w:sz w:val="22"/>
                <w:szCs w:val="22"/>
              </w:rPr>
              <w:t>7.1. Widok kooperacji aplikacji</w:t>
            </w:r>
          </w:p>
        </w:tc>
        <w:tc>
          <w:tcPr>
            <w:tcW w:w="7371" w:type="dxa"/>
          </w:tcPr>
          <w:p w:rsidR="00A15E54" w:rsidRDefault="00000000">
            <w:pPr>
              <w:rPr>
                <w:rFonts w:ascii="Calibri" w:hAnsi="Calibri" w:cs="Calibri"/>
                <w:sz w:val="22"/>
                <w:szCs w:val="22"/>
              </w:rPr>
            </w:pPr>
            <w:r>
              <w:rPr>
                <w:rFonts w:ascii="Calibri" w:hAnsi="Calibri" w:cs="Calibri"/>
                <w:sz w:val="22"/>
                <w:szCs w:val="22"/>
              </w:rPr>
              <w:t xml:space="preserve">W kamieniach milowych wykazano migrację zasobów do portalu Kronik@. </w:t>
            </w:r>
          </w:p>
          <w:p w:rsidR="00A15E54" w:rsidRDefault="00000000">
            <w:pPr>
              <w:rPr>
                <w:rFonts w:ascii="Calibri" w:hAnsi="Calibri" w:cs="Calibri"/>
                <w:sz w:val="22"/>
                <w:szCs w:val="22"/>
              </w:rPr>
            </w:pPr>
            <w:r>
              <w:rPr>
                <w:rFonts w:ascii="Calibri" w:hAnsi="Calibri" w:cs="Calibri"/>
                <w:sz w:val="22"/>
                <w:szCs w:val="22"/>
              </w:rPr>
              <w:t>Z jakiego systemu? Migracja wskazuje na fakt, że system będący źródeł migrowanych danych będzie systemem wycofywanym, co nie znajduje odzwierciedlenia w pkt 7.1 na widoku kooperacji i tabelach. Proszę o doprecyzowanie</w:t>
            </w:r>
          </w:p>
        </w:tc>
        <w:tc>
          <w:tcPr>
            <w:tcW w:w="1984" w:type="dxa"/>
          </w:tcPr>
          <w:p w:rsidR="00A15E54" w:rsidRDefault="00000000">
            <w:pPr>
              <w:jc w:val="center"/>
              <w:rPr>
                <w:rFonts w:ascii="Calibri" w:hAnsi="Calibri" w:cs="Calibri"/>
                <w:sz w:val="22"/>
                <w:szCs w:val="22"/>
              </w:rPr>
            </w:pPr>
            <w:r>
              <w:rPr>
                <w:rFonts w:ascii="Calibri" w:hAnsi="Calibri" w:cs="Calibri"/>
                <w:sz w:val="22"/>
                <w:szCs w:val="22"/>
              </w:rPr>
              <w:t>Proszę o analizę i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Migracja wykonana będzie z zasobów Portalu Dziedzictwo Muzyki Polskiej, co wykazano w pkt. 7.1.w opisie przepływów („Przepływ nr 1”). Migracja nie oznacza wycofania systemu a jedynie przekazanie danych do systemu KRONIK@.</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3. Kamienie milowe</w:t>
            </w:r>
          </w:p>
        </w:tc>
        <w:tc>
          <w:tcPr>
            <w:tcW w:w="7371" w:type="dxa"/>
          </w:tcPr>
          <w:p w:rsidR="00A15E54" w:rsidRDefault="00000000">
            <w:pPr>
              <w:rPr>
                <w:rFonts w:ascii="Calibri" w:hAnsi="Calibri" w:cs="Calibri"/>
                <w:sz w:val="22"/>
                <w:szCs w:val="22"/>
              </w:rPr>
            </w:pPr>
            <w:r>
              <w:rPr>
                <w:rFonts w:ascii="Calibri" w:hAnsi="Calibri" w:cs="Calibri"/>
                <w:sz w:val="22"/>
                <w:szCs w:val="22"/>
              </w:rPr>
              <w:t>W kamieniach milowych wykazano „Odbiór gotowych rozwiązań informatycznych”. Proszę doprecyzować o jakich rozwiązaniach mowa</w:t>
            </w:r>
          </w:p>
        </w:tc>
        <w:tc>
          <w:tcPr>
            <w:tcW w:w="1984" w:type="dxa"/>
          </w:tcPr>
          <w:p w:rsidR="00A15E54" w:rsidRDefault="00000000">
            <w:pPr>
              <w:jc w:val="center"/>
              <w:rPr>
                <w:rFonts w:ascii="Calibri" w:hAnsi="Calibri" w:cs="Calibri"/>
                <w:sz w:val="22"/>
                <w:szCs w:val="22"/>
              </w:rPr>
            </w:pPr>
            <w:r>
              <w:rPr>
                <w:rFonts w:ascii="Calibri" w:hAnsi="Calibri" w:cs="Calibri"/>
                <w:sz w:val="22"/>
                <w:szCs w:val="22"/>
              </w:rPr>
              <w:t>Proszę o analizę i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 xml:space="preserve">Uwzględniono w pkt. 3. </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4.2. Wykaz poszczególnych pozycji kosztowych</w:t>
            </w:r>
          </w:p>
        </w:tc>
        <w:tc>
          <w:tcPr>
            <w:tcW w:w="7371" w:type="dxa"/>
          </w:tcPr>
          <w:p w:rsidR="00A15E54" w:rsidRDefault="00000000">
            <w:pPr>
              <w:rPr>
                <w:rFonts w:ascii="Calibri" w:hAnsi="Calibri" w:cs="Calibri"/>
                <w:sz w:val="22"/>
                <w:szCs w:val="22"/>
              </w:rPr>
            </w:pPr>
            <w:r>
              <w:rPr>
                <w:rFonts w:ascii="Calibri" w:hAnsi="Calibri" w:cs="Calibri"/>
                <w:sz w:val="22"/>
                <w:szCs w:val="22"/>
              </w:rPr>
              <w:t>Należy zweryfikować Koszt zarządu, który oszacowano na poziomie ponad 30% wartości projektu, co uzasadnia nieefektywność realizacji projektu.</w:t>
            </w:r>
          </w:p>
          <w:p w:rsidR="00A15E54" w:rsidRDefault="00A15E54">
            <w:pPr>
              <w:tabs>
                <w:tab w:val="num" w:pos="720"/>
              </w:tabs>
              <w:rPr>
                <w:rFonts w:asciiTheme="minorHAnsi" w:hAnsiTheme="minorHAnsi" w:cstheme="minorHAnsi"/>
                <w:sz w:val="22"/>
                <w:szCs w:val="22"/>
              </w:rPr>
            </w:pPr>
          </w:p>
          <w:p w:rsidR="00A15E54" w:rsidRDefault="00000000">
            <w:pPr>
              <w:rPr>
                <w:rFonts w:asciiTheme="minorHAnsi" w:hAnsiTheme="minorHAnsi" w:cstheme="minorHAnsi"/>
                <w:sz w:val="22"/>
                <w:szCs w:val="22"/>
              </w:rPr>
            </w:pPr>
            <w:r>
              <w:rPr>
                <w:rFonts w:asciiTheme="minorHAnsi" w:hAnsiTheme="minorHAnsi" w:cstheme="minorHAnsi"/>
                <w:sz w:val="22"/>
                <w:szCs w:val="22"/>
              </w:rPr>
              <w:t>W przypadku pozycji kosztowych:</w:t>
            </w:r>
          </w:p>
          <w:p w:rsidR="00A15E54" w:rsidRDefault="00000000">
            <w:pPr>
              <w:pStyle w:val="Akapitzlist"/>
              <w:numPr>
                <w:ilvl w:val="0"/>
                <w:numId w:val="19"/>
              </w:numPr>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b/>
                <w:bCs/>
                <w:sz w:val="22"/>
                <w:szCs w:val="22"/>
              </w:rPr>
              <w:t>Oprogramowanie</w:t>
            </w:r>
            <w:r>
              <w:rPr>
                <w:rFonts w:asciiTheme="minorHAnsi" w:hAnsiTheme="minorHAnsi" w:cstheme="minorHAnsi"/>
                <w:sz w:val="22"/>
                <w:szCs w:val="22"/>
              </w:rPr>
              <w:t xml:space="preserve">” – należy wykazać koszty np.: przygotowania dokumentacji analitycznej, sporządzenia studium wykonalności, wytworzenia oprogramowania, testów wewnętrznych (deweloperskich, jednostkowych, podstawowych testów end-to-end), funkcjonalnych i eksploracyjnych, w tym testów regresji i retestów, ekspertów programistycznych, stworzenia prototypów, zakupu gotowych rozwiązań, przeprowadzenia digitalizacji dokumentów, udostępniania informacji i zbiorów danych. </w:t>
            </w:r>
          </w:p>
          <w:p w:rsidR="00A15E54" w:rsidRDefault="00000000">
            <w:pPr>
              <w:pStyle w:val="Akapitzlist"/>
              <w:ind w:left="360"/>
              <w:rPr>
                <w:rFonts w:asciiTheme="minorHAnsi" w:hAnsiTheme="minorHAnsi" w:cstheme="minorHAnsi"/>
                <w:sz w:val="22"/>
                <w:szCs w:val="22"/>
              </w:rPr>
            </w:pPr>
            <w:r>
              <w:rPr>
                <w:rFonts w:asciiTheme="minorHAnsi" w:hAnsiTheme="minorHAnsi" w:cstheme="minorHAnsi"/>
                <w:sz w:val="22"/>
                <w:szCs w:val="22"/>
              </w:rPr>
              <w:t xml:space="preserve">Nie należy specyfikować w tej pozycji: </w:t>
            </w:r>
          </w:p>
          <w:p w:rsidR="00A15E54" w:rsidRDefault="00000000">
            <w:pPr>
              <w:pStyle w:val="Akapitzlist"/>
              <w:numPr>
                <w:ilvl w:val="0"/>
                <w:numId w:val="16"/>
              </w:numPr>
              <w:rPr>
                <w:rFonts w:asciiTheme="minorHAnsi" w:hAnsiTheme="minorHAnsi" w:cstheme="minorHAnsi"/>
                <w:sz w:val="22"/>
                <w:szCs w:val="22"/>
              </w:rPr>
            </w:pPr>
            <w:r>
              <w:rPr>
                <w:rFonts w:asciiTheme="minorHAnsi" w:hAnsiTheme="minorHAnsi" w:cstheme="minorHAnsi"/>
                <w:sz w:val="22"/>
                <w:szCs w:val="22"/>
              </w:rPr>
              <w:t xml:space="preserve">kosztów oprogramowania systemowego i narzędziowego związanego z infrastrukturą teleinformatyczną, które powinno być wykazane w pozycji „Infrastruktura”, </w:t>
            </w:r>
          </w:p>
          <w:p w:rsidR="00A15E54" w:rsidRDefault="00000000">
            <w:pPr>
              <w:pStyle w:val="Akapitzlist"/>
              <w:numPr>
                <w:ilvl w:val="0"/>
                <w:numId w:val="16"/>
              </w:numPr>
              <w:rPr>
                <w:rFonts w:asciiTheme="minorHAnsi" w:hAnsiTheme="minorHAnsi" w:cstheme="minorHAnsi"/>
                <w:sz w:val="22"/>
                <w:szCs w:val="22"/>
              </w:rPr>
            </w:pPr>
            <w:r>
              <w:rPr>
                <w:rFonts w:asciiTheme="minorHAnsi" w:hAnsiTheme="minorHAnsi" w:cstheme="minorHAnsi"/>
                <w:sz w:val="22"/>
                <w:szCs w:val="22"/>
              </w:rPr>
              <w:t xml:space="preserve">kosztów zewnętrznych usług związanych z UX i tworzeniem szaty graficznej rozwiązania, które powinny być wyspecyfikowane w pozycji „Koszty UX i grafiki”, </w:t>
            </w:r>
          </w:p>
          <w:p w:rsidR="00A15E54" w:rsidRDefault="00000000">
            <w:pPr>
              <w:pStyle w:val="Akapitzlist"/>
              <w:numPr>
                <w:ilvl w:val="0"/>
                <w:numId w:val="16"/>
              </w:numPr>
              <w:rPr>
                <w:rFonts w:asciiTheme="minorHAnsi" w:hAnsiTheme="minorHAnsi" w:cstheme="minorHAnsi"/>
                <w:sz w:val="22"/>
                <w:szCs w:val="22"/>
              </w:rPr>
            </w:pPr>
            <w:r>
              <w:rPr>
                <w:rFonts w:asciiTheme="minorHAnsi" w:hAnsiTheme="minorHAnsi" w:cstheme="minorHAnsi"/>
                <w:sz w:val="22"/>
                <w:szCs w:val="22"/>
              </w:rPr>
              <w:lastRenderedPageBreak/>
              <w:t xml:space="preserve">kosztów niezależnych testów bezpieczeństwa i wydajności rozwiązania, które powinny być wyspecyfikowane w pozycjach „Bezpieczeństwo” i „Wydajność” (niezależnych od testów wewnętrznych przeprowadzonych w ramach prac </w:t>
            </w:r>
            <w:proofErr w:type="spellStart"/>
            <w:r>
              <w:rPr>
                <w:rFonts w:asciiTheme="minorHAnsi" w:hAnsiTheme="minorHAnsi" w:cstheme="minorHAnsi"/>
                <w:sz w:val="22"/>
                <w:szCs w:val="22"/>
              </w:rPr>
              <w:t>dewoloperskich</w:t>
            </w:r>
            <w:proofErr w:type="spellEnd"/>
            <w:r>
              <w:rPr>
                <w:rFonts w:asciiTheme="minorHAnsi" w:hAnsiTheme="minorHAnsi" w:cstheme="minorHAnsi"/>
                <w:sz w:val="22"/>
                <w:szCs w:val="22"/>
              </w:rPr>
              <w:t xml:space="preserve">). </w:t>
            </w:r>
          </w:p>
          <w:p w:rsidR="00A15E54" w:rsidRDefault="00000000">
            <w:pPr>
              <w:pStyle w:val="Akapitzlist"/>
              <w:numPr>
                <w:ilvl w:val="0"/>
                <w:numId w:val="20"/>
              </w:numPr>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b/>
                <w:bCs/>
                <w:sz w:val="22"/>
                <w:szCs w:val="22"/>
              </w:rPr>
              <w:t>Infrastruktura</w:t>
            </w:r>
            <w:r>
              <w:rPr>
                <w:rFonts w:asciiTheme="minorHAnsi" w:hAnsiTheme="minorHAnsi" w:cstheme="minorHAnsi"/>
                <w:sz w:val="22"/>
                <w:szCs w:val="22"/>
              </w:rPr>
              <w:t xml:space="preserve">” – należy wykazać koszty infrastruktury informatycznej, tj. całości rozwiązań sprzętowych, programowych i organizacyjnych, które są podstawą dla wdrożenia i eksploatacji zaawansowanych technologicznie i merytorycznie systemów teleinformatycznych, do których należą: </w:t>
            </w:r>
          </w:p>
          <w:p w:rsidR="00A15E54" w:rsidRDefault="00000000">
            <w:pPr>
              <w:numPr>
                <w:ilvl w:val="1"/>
                <w:numId w:val="17"/>
              </w:numPr>
              <w:rPr>
                <w:rFonts w:asciiTheme="minorHAnsi" w:hAnsiTheme="minorHAnsi" w:cstheme="minorHAnsi"/>
                <w:sz w:val="22"/>
                <w:szCs w:val="22"/>
              </w:rPr>
            </w:pPr>
            <w:r>
              <w:rPr>
                <w:rFonts w:asciiTheme="minorHAnsi" w:hAnsiTheme="minorHAnsi" w:cstheme="minorHAnsi"/>
                <w:sz w:val="22"/>
                <w:szCs w:val="22"/>
              </w:rPr>
              <w:t xml:space="preserve">koszt środków trwałych jakie zostaną zakupione w ramach przedsięwzięcia tj.: </w:t>
            </w:r>
          </w:p>
          <w:p w:rsidR="00A15E54" w:rsidRDefault="00000000">
            <w:pPr>
              <w:pStyle w:val="Akapitzlist"/>
              <w:numPr>
                <w:ilvl w:val="0"/>
                <w:numId w:val="18"/>
              </w:numPr>
              <w:rPr>
                <w:rFonts w:asciiTheme="minorHAnsi" w:hAnsiTheme="minorHAnsi" w:cstheme="minorHAnsi"/>
                <w:sz w:val="22"/>
                <w:szCs w:val="22"/>
              </w:rPr>
            </w:pPr>
            <w:r>
              <w:rPr>
                <w:rFonts w:asciiTheme="minorHAnsi" w:hAnsiTheme="minorHAnsi" w:cstheme="minorHAnsi"/>
                <w:sz w:val="22"/>
                <w:szCs w:val="22"/>
              </w:rPr>
              <w:t>szeroko pojętego sprzętu informatycznego, takiego jak: serwery, macierze dyskowe, moduły równoważenia obciążenia (</w:t>
            </w:r>
            <w:proofErr w:type="spellStart"/>
            <w:r>
              <w:rPr>
                <w:rFonts w:asciiTheme="minorHAnsi" w:hAnsiTheme="minorHAnsi" w:cstheme="minorHAnsi"/>
                <w:sz w:val="22"/>
                <w:szCs w:val="22"/>
              </w:rPr>
              <w:t>load-balancer’y</w:t>
            </w:r>
            <w:proofErr w:type="spellEnd"/>
            <w:r>
              <w:rPr>
                <w:rFonts w:asciiTheme="minorHAnsi" w:hAnsiTheme="minorHAnsi" w:cstheme="minorHAnsi"/>
                <w:sz w:val="22"/>
                <w:szCs w:val="22"/>
              </w:rPr>
              <w:t xml:space="preserve">), drukarki, skanery itp., </w:t>
            </w:r>
          </w:p>
          <w:p w:rsidR="00A15E54" w:rsidRDefault="00000000">
            <w:pPr>
              <w:pStyle w:val="Akapitzlist"/>
              <w:numPr>
                <w:ilvl w:val="0"/>
                <w:numId w:val="18"/>
              </w:numPr>
              <w:rPr>
                <w:rFonts w:asciiTheme="minorHAnsi" w:hAnsiTheme="minorHAnsi" w:cstheme="minorHAnsi"/>
                <w:sz w:val="22"/>
                <w:szCs w:val="22"/>
              </w:rPr>
            </w:pPr>
            <w:r>
              <w:rPr>
                <w:rFonts w:asciiTheme="minorHAnsi" w:hAnsiTheme="minorHAnsi" w:cstheme="minorHAnsi"/>
                <w:sz w:val="22"/>
                <w:szCs w:val="22"/>
              </w:rPr>
              <w:t>specjalizowanego sprzętu sieciowego takiego jak przełączniki sieciowe, rutery, zapory sieciowe (</w:t>
            </w:r>
            <w:proofErr w:type="spellStart"/>
            <w:r>
              <w:rPr>
                <w:rFonts w:asciiTheme="minorHAnsi" w:hAnsiTheme="minorHAnsi" w:cstheme="minorHAnsi"/>
                <w:sz w:val="22"/>
                <w:szCs w:val="22"/>
              </w:rPr>
              <w:t>firewall’e</w:t>
            </w:r>
            <w:proofErr w:type="spellEnd"/>
            <w:r>
              <w:rPr>
                <w:rFonts w:asciiTheme="minorHAnsi" w:hAnsiTheme="minorHAnsi" w:cstheme="minorHAnsi"/>
                <w:sz w:val="22"/>
                <w:szCs w:val="22"/>
              </w:rPr>
              <w:t xml:space="preserve">), sondy internetowe </w:t>
            </w:r>
            <w:proofErr w:type="gramStart"/>
            <w:r>
              <w:rPr>
                <w:rFonts w:asciiTheme="minorHAnsi" w:hAnsiTheme="minorHAnsi" w:cstheme="minorHAnsi"/>
                <w:sz w:val="22"/>
                <w:szCs w:val="22"/>
              </w:rPr>
              <w:t>itp.,.</w:t>
            </w:r>
            <w:proofErr w:type="gramEnd"/>
            <w:r>
              <w:rPr>
                <w:rFonts w:asciiTheme="minorHAnsi" w:hAnsiTheme="minorHAnsi" w:cstheme="minorHAnsi"/>
                <w:sz w:val="22"/>
                <w:szCs w:val="22"/>
              </w:rPr>
              <w:t xml:space="preserve"> </w:t>
            </w:r>
          </w:p>
          <w:p w:rsidR="00A15E54" w:rsidRDefault="00000000">
            <w:pPr>
              <w:pStyle w:val="Akapitzlist"/>
              <w:numPr>
                <w:ilvl w:val="0"/>
                <w:numId w:val="18"/>
              </w:numPr>
              <w:rPr>
                <w:rFonts w:asciiTheme="minorHAnsi" w:hAnsiTheme="minorHAnsi" w:cstheme="minorHAnsi"/>
                <w:sz w:val="22"/>
                <w:szCs w:val="22"/>
              </w:rPr>
            </w:pPr>
            <w:r>
              <w:rPr>
                <w:rFonts w:asciiTheme="minorHAnsi" w:hAnsiTheme="minorHAnsi" w:cstheme="minorHAnsi"/>
                <w:sz w:val="22"/>
                <w:szCs w:val="22"/>
              </w:rPr>
              <w:t xml:space="preserve">niezbędnego wyposażenia ośrodka obliczeniowego jak szafy rakowe, krosownice itp., </w:t>
            </w:r>
          </w:p>
          <w:p w:rsidR="00A15E54" w:rsidRDefault="00000000">
            <w:pPr>
              <w:pStyle w:val="Akapitzlist"/>
              <w:numPr>
                <w:ilvl w:val="0"/>
                <w:numId w:val="18"/>
              </w:numPr>
              <w:rPr>
                <w:rFonts w:asciiTheme="minorHAnsi" w:hAnsiTheme="minorHAnsi" w:cstheme="minorHAnsi"/>
                <w:sz w:val="22"/>
                <w:szCs w:val="22"/>
              </w:rPr>
            </w:pPr>
            <w:r>
              <w:rPr>
                <w:rFonts w:asciiTheme="minorHAnsi" w:hAnsiTheme="minorHAnsi" w:cstheme="minorHAnsi"/>
                <w:sz w:val="22"/>
                <w:szCs w:val="22"/>
              </w:rPr>
              <w:t>innych środków trwałych np. sprzęt multimedialny, tablety, czytniki e-</w:t>
            </w:r>
            <w:proofErr w:type="spellStart"/>
            <w:r>
              <w:rPr>
                <w:rFonts w:asciiTheme="minorHAnsi" w:hAnsiTheme="minorHAnsi" w:cstheme="minorHAnsi"/>
                <w:sz w:val="22"/>
                <w:szCs w:val="22"/>
              </w:rPr>
              <w:t>book’ów</w:t>
            </w:r>
            <w:proofErr w:type="spellEnd"/>
            <w:r>
              <w:rPr>
                <w:rFonts w:asciiTheme="minorHAnsi" w:hAnsiTheme="minorHAnsi" w:cstheme="minorHAnsi"/>
                <w:sz w:val="22"/>
                <w:szCs w:val="22"/>
              </w:rPr>
              <w:t xml:space="preserve"> itp., </w:t>
            </w:r>
          </w:p>
          <w:p w:rsidR="00A15E54" w:rsidRDefault="00000000">
            <w:pPr>
              <w:numPr>
                <w:ilvl w:val="1"/>
                <w:numId w:val="17"/>
              </w:numPr>
              <w:rPr>
                <w:rFonts w:asciiTheme="minorHAnsi" w:hAnsiTheme="minorHAnsi" w:cstheme="minorHAnsi"/>
                <w:sz w:val="22"/>
                <w:szCs w:val="22"/>
              </w:rPr>
            </w:pPr>
            <w:r>
              <w:rPr>
                <w:rFonts w:asciiTheme="minorHAnsi" w:hAnsiTheme="minorHAnsi" w:cstheme="minorHAnsi"/>
                <w:sz w:val="22"/>
                <w:szCs w:val="22"/>
              </w:rPr>
              <w:t xml:space="preserve">koszt wartości niematerialnych i prawnych jakie składają się na oprogramowanie (wraz z licencjami) niezbędne do prawidłowego działania i zarządzania infrastruktury teleinformatycznej tj. oprogramowania systemowego i narzędziowego związanego ze sprzętem w szczególności oprogramowania wizualizacyjnego (patrz pozycja wyżej), </w:t>
            </w:r>
          </w:p>
          <w:p w:rsidR="00A15E54" w:rsidRDefault="00000000">
            <w:pPr>
              <w:numPr>
                <w:ilvl w:val="1"/>
                <w:numId w:val="17"/>
              </w:numPr>
              <w:rPr>
                <w:rFonts w:asciiTheme="minorHAnsi" w:hAnsiTheme="minorHAnsi" w:cstheme="minorHAnsi"/>
                <w:sz w:val="22"/>
                <w:szCs w:val="22"/>
              </w:rPr>
            </w:pPr>
            <w:r>
              <w:rPr>
                <w:rFonts w:asciiTheme="minorHAnsi" w:hAnsiTheme="minorHAnsi" w:cstheme="minorHAnsi"/>
                <w:sz w:val="22"/>
                <w:szCs w:val="22"/>
              </w:rPr>
              <w:t xml:space="preserve">koszt zapewnienia usługi IaaS lub PaaS, niezbędnej dla prawidłowego funkcjonowania systemu opisanego w pozycji „Oprogramowanie”, tj. jej kosztu (abonamentu) miesięcznego/rocznego wraz z dodatkowymi narzutami związanymi z zapewnieniem wsparcia, aktualizacją oprogramowania, licencjami itp.; </w:t>
            </w:r>
          </w:p>
          <w:p w:rsidR="00A15E54" w:rsidRDefault="00000000">
            <w:pPr>
              <w:ind w:left="708"/>
              <w:rPr>
                <w:rFonts w:asciiTheme="minorHAnsi" w:hAnsiTheme="minorHAnsi" w:cstheme="minorHAnsi"/>
                <w:sz w:val="22"/>
                <w:szCs w:val="22"/>
              </w:rPr>
            </w:pPr>
            <w:r>
              <w:rPr>
                <w:rFonts w:asciiTheme="minorHAnsi" w:hAnsiTheme="minorHAnsi" w:cstheme="minorHAnsi"/>
                <w:sz w:val="22"/>
                <w:szCs w:val="22"/>
              </w:rPr>
              <w:t xml:space="preserve">W tym przypadku, niezbędne jest wskazanie w drugiej kolumnie dostawcy usługi. </w:t>
            </w:r>
          </w:p>
          <w:p w:rsidR="00A15E54" w:rsidRDefault="00000000">
            <w:pPr>
              <w:pStyle w:val="Akapitzlist"/>
              <w:numPr>
                <w:ilvl w:val="0"/>
                <w:numId w:val="20"/>
              </w:numPr>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b/>
                <w:bCs/>
                <w:sz w:val="22"/>
                <w:szCs w:val="22"/>
              </w:rPr>
              <w:t>Koszty UX i grafiki</w:t>
            </w:r>
            <w:r>
              <w:rPr>
                <w:rFonts w:asciiTheme="minorHAnsi" w:hAnsiTheme="minorHAnsi" w:cstheme="minorHAnsi"/>
                <w:sz w:val="22"/>
                <w:szCs w:val="22"/>
              </w:rPr>
              <w:t xml:space="preserve">” – należy wykazać koszty np.: badań użytkowników, stworzenia projektu UX i projektu graficznego, testowania systemu wśród </w:t>
            </w:r>
            <w:r>
              <w:rPr>
                <w:rFonts w:asciiTheme="minorHAnsi" w:hAnsiTheme="minorHAnsi" w:cstheme="minorHAnsi"/>
                <w:sz w:val="22"/>
                <w:szCs w:val="22"/>
              </w:rPr>
              <w:lastRenderedPageBreak/>
              <w:t>docelowych użytkowników, wprowadzania poprawek wynikających z testów z użytkownikami.</w:t>
            </w:r>
          </w:p>
          <w:p w:rsidR="00A15E54" w:rsidRDefault="00000000">
            <w:pPr>
              <w:pStyle w:val="Akapitzlist"/>
              <w:numPr>
                <w:ilvl w:val="0"/>
                <w:numId w:val="20"/>
              </w:numPr>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b/>
                <w:bCs/>
                <w:sz w:val="22"/>
                <w:szCs w:val="22"/>
              </w:rPr>
              <w:t>Wydajność rozwiązań</w:t>
            </w:r>
            <w:r>
              <w:rPr>
                <w:rFonts w:asciiTheme="minorHAnsi" w:hAnsiTheme="minorHAnsi" w:cstheme="minorHAnsi"/>
                <w:sz w:val="22"/>
                <w:szCs w:val="22"/>
              </w:rPr>
              <w:t>” – należy wykazać koszty np. testów wydajnościowych, niezależnie od tego. czy test taki prowadzony jest przez zespół wewnętrzny projektu czy zewnętrzny; aspekt szczególnie istotny w przypadku projektów związanych z digitalizacją lub udostępnianiem informacji/zasobów.</w:t>
            </w:r>
          </w:p>
          <w:p w:rsidR="00A15E54" w:rsidRDefault="00000000">
            <w:pPr>
              <w:pStyle w:val="Akapitzlist"/>
              <w:numPr>
                <w:ilvl w:val="0"/>
                <w:numId w:val="20"/>
              </w:numPr>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b/>
                <w:bCs/>
                <w:sz w:val="22"/>
                <w:szCs w:val="22"/>
              </w:rPr>
              <w:t>Bezpieczeństwo</w:t>
            </w:r>
            <w:r>
              <w:rPr>
                <w:rFonts w:asciiTheme="minorHAnsi" w:hAnsiTheme="minorHAnsi" w:cstheme="minorHAnsi"/>
                <w:sz w:val="22"/>
                <w:szCs w:val="22"/>
              </w:rPr>
              <w:t>” – należy wykazać koszty np. audytów bezpieczeństwa, analizy statycznej kodu, testów podatności systemu, badania zgodności systemu z obowiązującymi przepisami prawa, zakupu specjalistycznej infrastruktury i oprogramowania dedykowanych wyłącznie poprawie bezpieczeństwa przetwarzanych informacji, a także testów prywatności, obejmujące m.in. analizę potrzeb i wdrożenie środków technicznych i organizacyjnych w celu skutecznej realizacji zasad ochrony danych i nadania przetwarzaniu niezbędnych zabezpieczeń (art. 25 ogólnego rozporządzenie o ochronie danych) oraz ocenę skutków dla ochrony danych (art. 35 ogólnego rozporządzenie o ochronie danych).</w:t>
            </w:r>
          </w:p>
          <w:p w:rsidR="00A15E54" w:rsidRDefault="00000000">
            <w:pPr>
              <w:pStyle w:val="Akapitzlist"/>
              <w:numPr>
                <w:ilvl w:val="0"/>
                <w:numId w:val="20"/>
              </w:numPr>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b/>
                <w:bCs/>
                <w:sz w:val="22"/>
                <w:szCs w:val="22"/>
              </w:rPr>
              <w:t>Koszty zarządzania i wsparcia (w tym wynagrodzenia Personelu wspomagającego)</w:t>
            </w:r>
            <w:r>
              <w:rPr>
                <w:rFonts w:asciiTheme="minorHAnsi" w:hAnsiTheme="minorHAnsi" w:cstheme="minorHAnsi"/>
                <w:sz w:val="22"/>
                <w:szCs w:val="22"/>
              </w:rPr>
              <w:t xml:space="preserve">” – należy wykazać koszty zarządu (w tym kierowników projektu), asystentów, doradców prawnych, finansowych oraz koszty pośrednie, zgodnie z definicją stosowaną w projektach współfinansowanych ze środków UE. </w:t>
            </w:r>
          </w:p>
          <w:p w:rsidR="00A15E54" w:rsidRDefault="00000000">
            <w:pPr>
              <w:ind w:left="360"/>
              <w:rPr>
                <w:rFonts w:asciiTheme="minorHAnsi" w:hAnsiTheme="minorHAnsi" w:cstheme="minorHAnsi"/>
                <w:sz w:val="22"/>
                <w:szCs w:val="22"/>
              </w:rPr>
            </w:pPr>
            <w:r>
              <w:rPr>
                <w:rFonts w:asciiTheme="minorHAnsi" w:hAnsiTheme="minorHAnsi" w:cstheme="minorHAnsi"/>
                <w:sz w:val="22"/>
                <w:szCs w:val="22"/>
              </w:rPr>
              <w:t xml:space="preserve">Wynagrodzenia pracowników merytorycznych (tj. bezpośrednio realizujące zadania związane z wytworzeniem i wdrożeniem/udostępnieniem produktów projektu), w tym zatrudnionych na podstawie usług </w:t>
            </w:r>
            <w:proofErr w:type="spellStart"/>
            <w:r>
              <w:rPr>
                <w:rFonts w:asciiTheme="minorHAnsi" w:hAnsiTheme="minorHAnsi" w:cstheme="minorHAnsi"/>
                <w:sz w:val="22"/>
                <w:szCs w:val="22"/>
              </w:rPr>
              <w:t>bodyleasing</w:t>
            </w:r>
            <w:proofErr w:type="spellEnd"/>
            <w:r>
              <w:rPr>
                <w:rFonts w:asciiTheme="minorHAnsi" w:hAnsiTheme="minorHAnsi" w:cstheme="minorHAnsi"/>
                <w:sz w:val="22"/>
                <w:szCs w:val="22"/>
              </w:rPr>
              <w:t xml:space="preserve">, powinny być wykazane w innych pozycjach kosztowych, niż „Koszty zarządzania i wsparcia (w tym wynagrodzenia Personelu wspomagającego)”. </w:t>
            </w:r>
          </w:p>
          <w:p w:rsidR="00A15E54" w:rsidRDefault="00A15E54">
            <w:pPr>
              <w:tabs>
                <w:tab w:val="num" w:pos="720"/>
              </w:tabs>
              <w:rPr>
                <w:rFonts w:asciiTheme="minorHAnsi" w:hAnsiTheme="minorHAnsi" w:cstheme="minorHAnsi"/>
                <w:sz w:val="22"/>
                <w:szCs w:val="22"/>
              </w:rPr>
            </w:pPr>
          </w:p>
          <w:p w:rsidR="00A15E54" w:rsidRDefault="00000000">
            <w:pPr>
              <w:rPr>
                <w:rFonts w:ascii="Calibri" w:hAnsi="Calibri" w:cs="Calibri"/>
                <w:sz w:val="22"/>
                <w:szCs w:val="22"/>
              </w:rPr>
            </w:pPr>
            <w:r>
              <w:rPr>
                <w:rFonts w:asciiTheme="minorHAnsi" w:hAnsiTheme="minorHAnsi" w:cstheme="minorHAnsi"/>
                <w:sz w:val="22"/>
                <w:szCs w:val="22"/>
              </w:rPr>
              <w:t>W przypadku kosztów, które nie należą do żadnej z powyższych kategorii, koszty należy uwzględnić w pozycji kosztowej „Koszty zarządzania i wsparcia (w tym wynagrodzenia Personelu wspomagającego)”, przy czym w kolumnie drugiej należy wskazać wyraźnie czego dotyczą doliczone koszty niedotyczące „Kosztów zarządzania i wsparcia (w tym wynagrodzenia Personelu wspomagającego)” i w jakiej wysokości.</w:t>
            </w:r>
          </w:p>
        </w:tc>
        <w:tc>
          <w:tcPr>
            <w:tcW w:w="1984" w:type="dxa"/>
          </w:tcPr>
          <w:p w:rsidR="00A15E54" w:rsidRDefault="00000000">
            <w:pPr>
              <w:jc w:val="center"/>
              <w:rPr>
                <w:rFonts w:ascii="Calibri" w:hAnsi="Calibri" w:cs="Calibri"/>
                <w:sz w:val="22"/>
                <w:szCs w:val="22"/>
              </w:rPr>
            </w:pPr>
            <w:r>
              <w:rPr>
                <w:rFonts w:ascii="Calibri" w:hAnsi="Calibri" w:cs="Calibri"/>
                <w:sz w:val="22"/>
                <w:szCs w:val="22"/>
              </w:rPr>
              <w:lastRenderedPageBreak/>
              <w:t>Proszę o analizę i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 xml:space="preserve">Uwzględniono i zmodyfikowano w pkt. 4.2. </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6. Otoczenie prawne</w:t>
            </w:r>
          </w:p>
        </w:tc>
        <w:tc>
          <w:tcPr>
            <w:tcW w:w="7371" w:type="dxa"/>
          </w:tcPr>
          <w:p w:rsidR="00A15E54" w:rsidRDefault="00000000">
            <w:pPr>
              <w:rPr>
                <w:rFonts w:ascii="Calibri" w:hAnsi="Calibri" w:cs="Calibri"/>
                <w:sz w:val="22"/>
                <w:szCs w:val="22"/>
              </w:rPr>
            </w:pPr>
            <w:r>
              <w:rPr>
                <w:rFonts w:ascii="Calibri" w:hAnsi="Calibri" w:cs="Calibri"/>
                <w:sz w:val="22"/>
                <w:szCs w:val="22"/>
              </w:rPr>
              <w:t xml:space="preserve">Należy rozważyć uwzględnienie: </w:t>
            </w:r>
          </w:p>
          <w:p w:rsidR="00A15E54" w:rsidRDefault="00000000">
            <w:pPr>
              <w:numPr>
                <w:ilvl w:val="0"/>
                <w:numId w:val="11"/>
              </w:numPr>
              <w:tabs>
                <w:tab w:val="num" w:pos="720"/>
              </w:tabs>
              <w:rPr>
                <w:rFonts w:ascii="Calibri" w:hAnsi="Calibri" w:cs="Calibri"/>
                <w:sz w:val="22"/>
                <w:szCs w:val="22"/>
              </w:rPr>
            </w:pPr>
            <w:r>
              <w:rPr>
                <w:rFonts w:ascii="Calibri" w:hAnsi="Calibri" w:cs="Calibri"/>
                <w:sz w:val="22"/>
                <w:szCs w:val="22"/>
              </w:rPr>
              <w:t>rozporządzenia Parlamentu Europejskiego i Rady (UE) 2022/868 z dnia 30 maja 2022 r. w sprawie europejskiego zarządzania danymi (Akt w sprawie zarządzania danymi)</w:t>
            </w:r>
          </w:p>
          <w:p w:rsidR="00A15E54" w:rsidRDefault="00000000">
            <w:pPr>
              <w:numPr>
                <w:ilvl w:val="0"/>
                <w:numId w:val="11"/>
              </w:numPr>
              <w:tabs>
                <w:tab w:val="num" w:pos="720"/>
              </w:tabs>
              <w:rPr>
                <w:rFonts w:ascii="Calibri" w:hAnsi="Calibri" w:cs="Calibri"/>
                <w:sz w:val="22"/>
                <w:szCs w:val="22"/>
              </w:rPr>
            </w:pPr>
            <w:r>
              <w:rPr>
                <w:rFonts w:ascii="Calibri" w:hAnsi="Calibri" w:cs="Calibri"/>
                <w:sz w:val="22"/>
                <w:szCs w:val="22"/>
              </w:rPr>
              <w:t>rozporządzenia Parlamentu Europejskiego i Rady (UE) 2023/2854 z dnia 13 grudnia 2023 r. w sprawie zharmonizowanych przepisów dotyczących sprawiedliwego dostępu do danych i ich wykorzystywania (Akt w sprawie danych)</w:t>
            </w:r>
          </w:p>
        </w:tc>
        <w:tc>
          <w:tcPr>
            <w:tcW w:w="1984" w:type="dxa"/>
          </w:tcPr>
          <w:p w:rsidR="00A15E54" w:rsidRDefault="00000000">
            <w:pPr>
              <w:jc w:val="center"/>
              <w:rPr>
                <w:rFonts w:ascii="Calibri" w:hAnsi="Calibri" w:cs="Calibri"/>
                <w:sz w:val="22"/>
                <w:szCs w:val="22"/>
              </w:rPr>
            </w:pPr>
            <w:r>
              <w:rPr>
                <w:rFonts w:ascii="Calibri" w:hAnsi="Calibri" w:cs="Calibri"/>
                <w:sz w:val="22"/>
                <w:szCs w:val="22"/>
              </w:rPr>
              <w:t>Proszę o analizę i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Uwzględniono i zmodyfikowano w pkt 6.</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6. Otoczenie prawne</w:t>
            </w:r>
          </w:p>
        </w:tc>
        <w:tc>
          <w:tcPr>
            <w:tcW w:w="7371" w:type="dxa"/>
          </w:tcPr>
          <w:p w:rsidR="00A15E54" w:rsidRDefault="00000000">
            <w:pPr>
              <w:rPr>
                <w:rFonts w:ascii="Calibri" w:hAnsi="Calibri" w:cs="Calibri"/>
                <w:sz w:val="22"/>
                <w:szCs w:val="22"/>
              </w:rPr>
            </w:pPr>
            <w:r>
              <w:rPr>
                <w:rFonts w:ascii="Calibri" w:hAnsi="Calibri" w:cs="Calibri"/>
                <w:sz w:val="22"/>
                <w:szCs w:val="22"/>
              </w:rPr>
              <w:t>Należy zweryfikować zasadność wykazania Ustawy o ochronie danych osobowych, rozporządzenie Ministra Cyfryzacji w sprawie profilu zaufanego i podpisu zaufanego czy ustawy o ochronie informacji niejawnych</w:t>
            </w:r>
          </w:p>
        </w:tc>
        <w:tc>
          <w:tcPr>
            <w:tcW w:w="1984" w:type="dxa"/>
          </w:tcPr>
          <w:p w:rsidR="00A15E54" w:rsidRDefault="00000000">
            <w:pPr>
              <w:jc w:val="center"/>
              <w:rPr>
                <w:rFonts w:ascii="Calibri" w:hAnsi="Calibri" w:cs="Calibri"/>
                <w:sz w:val="22"/>
                <w:szCs w:val="22"/>
              </w:rPr>
            </w:pPr>
            <w:r>
              <w:rPr>
                <w:rFonts w:ascii="Calibri" w:hAnsi="Calibri" w:cs="Calibri"/>
                <w:sz w:val="22"/>
                <w:szCs w:val="22"/>
              </w:rPr>
              <w:t>Proszę o analizę i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Nie dotyczy, strona nie wymaga logowania</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Theme="minorHAnsi" w:hAnsiTheme="minorHAnsi" w:cstheme="minorHAnsi"/>
                <w:sz w:val="22"/>
                <w:szCs w:val="22"/>
              </w:rPr>
            </w:pPr>
            <w:r>
              <w:rPr>
                <w:rFonts w:ascii="Calibri" w:hAnsi="Calibri" w:cs="Calibri"/>
                <w:color w:val="000000"/>
                <w:sz w:val="22"/>
                <w:szCs w:val="22"/>
              </w:rPr>
              <w:t>7.1. Widok kooperacji aplikacji</w:t>
            </w:r>
          </w:p>
        </w:tc>
        <w:tc>
          <w:tcPr>
            <w:tcW w:w="7371" w:type="dxa"/>
          </w:tcPr>
          <w:p w:rsidR="00A15E54" w:rsidRDefault="00000000">
            <w:pPr>
              <w:rPr>
                <w:rFonts w:asciiTheme="minorHAnsi" w:hAnsiTheme="minorHAnsi" w:cstheme="minorHAnsi"/>
                <w:sz w:val="22"/>
                <w:szCs w:val="22"/>
              </w:rPr>
            </w:pPr>
            <w:r>
              <w:rPr>
                <w:rFonts w:asciiTheme="minorHAnsi" w:hAnsiTheme="minorHAnsi" w:cstheme="minorHAnsi"/>
                <w:sz w:val="22"/>
                <w:szCs w:val="22"/>
              </w:rPr>
              <w:t xml:space="preserve">W Liście systemów wykazuje się wszystkie systemy teleinformatyczne z diagramu kooperacji aplikacji odrębnie, z: </w:t>
            </w:r>
          </w:p>
          <w:p w:rsidR="00A15E54" w:rsidRDefault="00000000">
            <w:pPr>
              <w:numPr>
                <w:ilvl w:val="0"/>
                <w:numId w:val="9"/>
              </w:numPr>
              <w:rPr>
                <w:rFonts w:asciiTheme="minorHAnsi" w:hAnsiTheme="minorHAnsi" w:cstheme="minorHAnsi"/>
                <w:sz w:val="22"/>
                <w:szCs w:val="22"/>
              </w:rPr>
            </w:pPr>
            <w:r>
              <w:rPr>
                <w:rFonts w:asciiTheme="minorHAnsi" w:hAnsiTheme="minorHAnsi" w:cstheme="minorHAnsi"/>
                <w:sz w:val="22"/>
                <w:szCs w:val="22"/>
              </w:rPr>
              <w:t>uwzględnieniem systemów będących produktami projektu,</w:t>
            </w:r>
          </w:p>
          <w:p w:rsidR="00A15E54" w:rsidRDefault="00000000">
            <w:pPr>
              <w:numPr>
                <w:ilvl w:val="0"/>
                <w:numId w:val="9"/>
              </w:numPr>
              <w:rPr>
                <w:rFonts w:asciiTheme="minorHAnsi" w:hAnsiTheme="minorHAnsi" w:cstheme="minorHAnsi"/>
                <w:sz w:val="22"/>
                <w:szCs w:val="22"/>
              </w:rPr>
            </w:pPr>
            <w:r>
              <w:rPr>
                <w:rFonts w:asciiTheme="minorHAnsi" w:hAnsiTheme="minorHAnsi" w:cstheme="minorHAnsi"/>
                <w:sz w:val="22"/>
                <w:szCs w:val="22"/>
              </w:rPr>
              <w:t>pominięciem grup systemów</w:t>
            </w:r>
          </w:p>
          <w:p w:rsidR="00A15E54" w:rsidRDefault="00000000">
            <w:pP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W Liście systemów w kolumnie:</w:t>
            </w:r>
          </w:p>
          <w:p w:rsidR="00A15E54" w:rsidRDefault="00000000">
            <w:pPr>
              <w:numPr>
                <w:ilvl w:val="1"/>
                <w:numId w:val="2"/>
              </w:numPr>
              <w:ind w:left="360"/>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„Nazwa systemu” należy zaprezentować skrótowiec lub ew. nazwę systemu teleinformatycznego </w:t>
            </w:r>
            <w:r>
              <w:rPr>
                <w:rFonts w:asciiTheme="minorHAnsi" w:eastAsia="Calibri" w:hAnsiTheme="minorHAnsi" w:cstheme="minorHAnsi"/>
                <w:b/>
                <w:bCs/>
                <w:sz w:val="22"/>
                <w:szCs w:val="22"/>
                <w:lang w:eastAsia="en-US"/>
              </w:rPr>
              <w:t>zgodnie z wykazaną na diagramie kooperacji</w:t>
            </w:r>
          </w:p>
          <w:p w:rsidR="00A15E54" w:rsidRDefault="00000000">
            <w:pPr>
              <w:numPr>
                <w:ilvl w:val="1"/>
                <w:numId w:val="2"/>
              </w:numPr>
              <w:ind w:left="360"/>
              <w:rPr>
                <w:rFonts w:asciiTheme="minorHAnsi" w:eastAsia="Calibri" w:hAnsiTheme="minorHAnsi" w:cstheme="minorHAnsi"/>
                <w:b/>
                <w:bCs/>
                <w:sz w:val="22"/>
                <w:szCs w:val="22"/>
                <w:lang w:eastAsia="en-US"/>
              </w:rPr>
            </w:pPr>
            <w:r>
              <w:rPr>
                <w:rFonts w:asciiTheme="minorHAnsi" w:eastAsia="Calibri" w:hAnsiTheme="minorHAnsi" w:cstheme="minorHAnsi"/>
                <w:sz w:val="22"/>
                <w:szCs w:val="22"/>
                <w:lang w:eastAsia="en-US"/>
              </w:rPr>
              <w:t xml:space="preserve">„Gestor systemu” należy wprowadzić nawę podmiotu będącego właścicielem systemu </w:t>
            </w:r>
          </w:p>
          <w:p w:rsidR="00A15E54" w:rsidRDefault="00000000">
            <w:pPr>
              <w:numPr>
                <w:ilvl w:val="1"/>
                <w:numId w:val="2"/>
              </w:numPr>
              <w:ind w:left="360"/>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„Opis systemu” </w:t>
            </w:r>
            <w:r>
              <w:rPr>
                <w:rFonts w:asciiTheme="minorHAnsi" w:eastAsia="Calibri" w:hAnsiTheme="minorHAnsi" w:cstheme="minorHAnsi"/>
                <w:sz w:val="22"/>
                <w:szCs w:val="22"/>
                <w:lang w:eastAsia="en-US"/>
              </w:rPr>
              <w:br/>
            </w:r>
            <w:r>
              <w:rPr>
                <w:rFonts w:asciiTheme="minorHAnsi" w:eastAsia="Calibri" w:hAnsiTheme="minorHAnsi" w:cstheme="minorHAnsi"/>
                <w:b/>
                <w:bCs/>
                <w:sz w:val="22"/>
                <w:szCs w:val="22"/>
                <w:lang w:eastAsia="en-US"/>
              </w:rPr>
              <w:t>Opisy systemów powinny zawierać</w:t>
            </w:r>
            <w:r>
              <w:rPr>
                <w:rFonts w:asciiTheme="minorHAnsi" w:eastAsia="Calibri" w:hAnsiTheme="minorHAnsi" w:cstheme="minorHAnsi"/>
                <w:sz w:val="22"/>
                <w:szCs w:val="22"/>
                <w:lang w:eastAsia="en-US"/>
              </w:rPr>
              <w:t>:</w:t>
            </w:r>
          </w:p>
          <w:p w:rsidR="00A15E54" w:rsidRDefault="00000000">
            <w:pPr>
              <w:numPr>
                <w:ilvl w:val="1"/>
                <w:numId w:val="12"/>
              </w:numP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Pełną nazwę systemu (na początku pełna nazwa potem sformułowanie „to system wspierający…”)</w:t>
            </w:r>
          </w:p>
          <w:p w:rsidR="00A15E54" w:rsidRDefault="00000000">
            <w:pPr>
              <w:numPr>
                <w:ilvl w:val="1"/>
                <w:numId w:val="12"/>
              </w:numP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Cel utworzenia systemu</w:t>
            </w:r>
          </w:p>
          <w:p w:rsidR="00A15E54" w:rsidRDefault="00000000">
            <w:pPr>
              <w:numPr>
                <w:ilvl w:val="1"/>
                <w:numId w:val="12"/>
              </w:numP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Informacja o prowadzonych w systemie rejestrach publicznych, jeśli nie jest to zawarte w celu</w:t>
            </w:r>
          </w:p>
          <w:p w:rsidR="00A15E54" w:rsidRDefault="00000000">
            <w:pPr>
              <w:numPr>
                <w:ilvl w:val="1"/>
                <w:numId w:val="12"/>
              </w:numP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Opis głównych grup funkcjonalności (może być lista modułów z krótkimi opisami)</w:t>
            </w:r>
          </w:p>
          <w:p w:rsidR="00A15E54" w:rsidRDefault="00000000">
            <w:pPr>
              <w:numPr>
                <w:ilvl w:val="1"/>
                <w:numId w:val="12"/>
              </w:numP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Informacja o integracjach z innymi systemami krajowymi lub zagranicznymi </w:t>
            </w:r>
          </w:p>
          <w:p w:rsidR="00A15E54" w:rsidRDefault="00000000">
            <w:pPr>
              <w:numPr>
                <w:ilvl w:val="1"/>
                <w:numId w:val="12"/>
              </w:numP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w przypadku grup systemów wstawiamy na początku "System wielokrotny"</w:t>
            </w:r>
          </w:p>
          <w:p w:rsidR="00A15E54" w:rsidRDefault="00000000">
            <w:pPr>
              <w:numPr>
                <w:ilvl w:val="1"/>
                <w:numId w:val="12"/>
              </w:numP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Opis:</w:t>
            </w:r>
          </w:p>
          <w:p w:rsidR="00A15E54" w:rsidRDefault="00000000">
            <w:pPr>
              <w:numPr>
                <w:ilvl w:val="0"/>
                <w:numId w:val="13"/>
              </w:numP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powinien być sformułowany w czasie teraźniejszym, niezależnie od tego czy jest planowany, istniejący czy modyfikowany,</w:t>
            </w:r>
          </w:p>
          <w:p w:rsidR="00A15E54" w:rsidRDefault="00000000">
            <w:pPr>
              <w:numPr>
                <w:ilvl w:val="0"/>
                <w:numId w:val="13"/>
              </w:numPr>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lastRenderedPageBreak/>
              <w:t>nie powinien zawierać odniesień do jakichkolwiek projektów czy przyszłych lub zrealizowanych działań,</w:t>
            </w:r>
          </w:p>
          <w:p w:rsidR="00A15E54" w:rsidRDefault="00000000">
            <w:pPr>
              <w:numPr>
                <w:ilvl w:val="0"/>
                <w:numId w:val="13"/>
              </w:numPr>
              <w:rPr>
                <w:rFonts w:asciiTheme="minorHAnsi" w:eastAsia="Calibri" w:hAnsiTheme="minorHAnsi" w:cstheme="minorHAnsi"/>
                <w:b/>
                <w:bCs/>
                <w:sz w:val="22"/>
                <w:szCs w:val="22"/>
                <w:lang w:eastAsia="en-US"/>
              </w:rPr>
            </w:pPr>
            <w:r>
              <w:rPr>
                <w:rFonts w:asciiTheme="minorHAnsi" w:eastAsia="Calibri" w:hAnsiTheme="minorHAnsi" w:cstheme="minorHAnsi"/>
                <w:sz w:val="22"/>
                <w:szCs w:val="22"/>
                <w:lang w:eastAsia="en-US"/>
              </w:rPr>
              <w:t>nie powinien zawierać odniesień do wyjątkowości systemu.</w:t>
            </w:r>
          </w:p>
          <w:p w:rsidR="00A15E54" w:rsidRDefault="00000000">
            <w:pPr>
              <w:numPr>
                <w:ilvl w:val="1"/>
                <w:numId w:val="2"/>
              </w:numPr>
              <w:ind w:left="360"/>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„Status systemu” należy prezentować wartości zgodne z prezentowanymi na diagramie: </w:t>
            </w:r>
          </w:p>
          <w:p w:rsidR="00A15E54" w:rsidRDefault="00000000">
            <w:pPr>
              <w:numPr>
                <w:ilvl w:val="0"/>
                <w:numId w:val="3"/>
              </w:numPr>
              <w:ind w:left="720"/>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planowane (na diagramie: planowane w projekcie, planowane w innym projekcie)</w:t>
            </w:r>
          </w:p>
          <w:p w:rsidR="00A15E54" w:rsidRDefault="00000000">
            <w:pPr>
              <w:numPr>
                <w:ilvl w:val="0"/>
                <w:numId w:val="3"/>
              </w:numPr>
              <w:ind w:left="720"/>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modyfikowane (na diagramie: modyfikowane w projekcie, modyfikowane w innym projekcie)</w:t>
            </w:r>
          </w:p>
          <w:p w:rsidR="00A15E54" w:rsidRDefault="00000000">
            <w:pPr>
              <w:numPr>
                <w:ilvl w:val="0"/>
                <w:numId w:val="3"/>
              </w:numPr>
              <w:ind w:left="720"/>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istniejące (na diagramie: istniejące)</w:t>
            </w:r>
          </w:p>
          <w:p w:rsidR="00A15E54" w:rsidRDefault="00000000">
            <w:pPr>
              <w:numPr>
                <w:ilvl w:val="1"/>
                <w:numId w:val="2"/>
              </w:numPr>
              <w:ind w:left="360"/>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t xml:space="preserve">„Krótki opis ewentualnej zmiany” należy: </w:t>
            </w:r>
          </w:p>
          <w:p w:rsidR="00A15E54" w:rsidRDefault="00000000">
            <w:pPr>
              <w:numPr>
                <w:ilvl w:val="2"/>
                <w:numId w:val="4"/>
              </w:numPr>
              <w:ind w:left="698" w:hanging="284"/>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wypełnić pole tylko dla </w:t>
            </w:r>
            <w:r>
              <w:rPr>
                <w:rFonts w:asciiTheme="minorHAnsi" w:eastAsia="Calibri" w:hAnsiTheme="minorHAnsi" w:cstheme="minorHAnsi"/>
                <w:b/>
                <w:bCs/>
                <w:sz w:val="22"/>
                <w:szCs w:val="22"/>
                <w:lang w:eastAsia="en-US"/>
              </w:rPr>
              <w:t>systemów „modyfikowanych” w projekcie</w:t>
            </w:r>
          </w:p>
          <w:p w:rsidR="00A15E54" w:rsidRDefault="00000000">
            <w:pPr>
              <w:numPr>
                <w:ilvl w:val="2"/>
                <w:numId w:val="4"/>
              </w:numPr>
              <w:ind w:left="698" w:hanging="284"/>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wskazać nazwy modułów budowanych i włączanych do modyfikowanego systemu budowanego/modyfikowanego modułu, o których mowa w pkt 1.1 i w pkt 2.4, jako uzupełnienie nazwy głównego produktu</w:t>
            </w:r>
          </w:p>
          <w:p w:rsidR="00A15E54" w:rsidRDefault="00000000">
            <w:pPr>
              <w:numPr>
                <w:ilvl w:val="2"/>
                <w:numId w:val="4"/>
              </w:numPr>
              <w:ind w:left="698" w:hanging="284"/>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opisać budowane/modyfikowane w projekcie funkcjonalności/podmoduły tych modułów</w:t>
            </w:r>
          </w:p>
        </w:tc>
        <w:tc>
          <w:tcPr>
            <w:tcW w:w="1984" w:type="dxa"/>
          </w:tcPr>
          <w:p w:rsidR="00A15E54" w:rsidRDefault="00000000">
            <w:pPr>
              <w:jc w:val="center"/>
              <w:rPr>
                <w:rFonts w:ascii="Calibri" w:hAnsi="Calibri" w:cs="Calibri"/>
                <w:sz w:val="22"/>
                <w:szCs w:val="22"/>
              </w:rPr>
            </w:pPr>
            <w:r>
              <w:rPr>
                <w:rFonts w:asciiTheme="minorHAnsi" w:hAnsiTheme="minorHAnsi" w:cstheme="minorHAnsi"/>
                <w:sz w:val="22"/>
                <w:szCs w:val="22"/>
              </w:rPr>
              <w:lastRenderedPageBreak/>
              <w:t>Proszę o analizę i korektę opisu założeń</w:t>
            </w:r>
          </w:p>
        </w:tc>
        <w:tc>
          <w:tcPr>
            <w:tcW w:w="2919" w:type="dxa"/>
          </w:tcPr>
          <w:p w:rsidR="00A15E54" w:rsidRDefault="00000000">
            <w:pPr>
              <w:jc w:val="center"/>
              <w:rPr>
                <w:rFonts w:asciiTheme="minorHAnsi" w:hAnsiTheme="minorHAnsi" w:cstheme="minorHAnsi"/>
                <w:sz w:val="22"/>
                <w:szCs w:val="22"/>
                <w:highlight w:val="yellow"/>
              </w:rPr>
            </w:pPr>
            <w:r w:rsidRPr="00955BDE">
              <w:rPr>
                <w:rFonts w:asciiTheme="minorHAnsi" w:hAnsiTheme="minorHAnsi" w:cstheme="minorHAnsi"/>
                <w:sz w:val="22"/>
                <w:szCs w:val="22"/>
              </w:rPr>
              <w:t xml:space="preserve">Uwzględniono i skorygowano </w:t>
            </w:r>
            <w:r w:rsidR="00955BDE">
              <w:rPr>
                <w:rFonts w:asciiTheme="minorHAnsi" w:hAnsiTheme="minorHAnsi" w:cstheme="minorHAnsi"/>
                <w:sz w:val="22"/>
                <w:szCs w:val="22"/>
              </w:rPr>
              <w:t>w pkt. 7.1.</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Calibri" w:hAnsi="Calibri" w:cs="Calibri"/>
                <w:color w:val="000000"/>
                <w:sz w:val="22"/>
                <w:szCs w:val="22"/>
              </w:rPr>
            </w:pPr>
            <w:r>
              <w:rPr>
                <w:rFonts w:ascii="Calibri" w:hAnsi="Calibri" w:cs="Calibri"/>
                <w:color w:val="000000"/>
                <w:sz w:val="22"/>
                <w:szCs w:val="22"/>
              </w:rPr>
              <w:t>7.1. Widok kooperacji aplikacji i 7.2. Kluczowe komponenty architektury rozwiązania</w:t>
            </w:r>
          </w:p>
        </w:tc>
        <w:tc>
          <w:tcPr>
            <w:tcW w:w="7371" w:type="dxa"/>
          </w:tcPr>
          <w:p w:rsidR="00A15E54" w:rsidRDefault="00000000">
            <w:pPr>
              <w:rPr>
                <w:rFonts w:asciiTheme="minorHAnsi" w:hAnsiTheme="minorHAnsi" w:cstheme="minorHAnsi"/>
                <w:sz w:val="22"/>
                <w:szCs w:val="22"/>
              </w:rPr>
            </w:pPr>
            <w:r>
              <w:rPr>
                <w:rFonts w:asciiTheme="minorHAnsi" w:hAnsiTheme="minorHAnsi" w:cstheme="minorHAnsi"/>
                <w:sz w:val="22"/>
                <w:szCs w:val="22"/>
              </w:rPr>
              <w:t xml:space="preserve">„Moduł korespondencji” jest umieszczony na widoku kooperacji, ale opisany jest w tabeli pod diagramem (oraz w 2.4. „Produkty końcowe projektu”) jako element systemu „Portal dziedzictwo muzyki polskiej” i pokazany jako jego komponent na diagramie w rozdziale 7.2 („Kluczowe komponenty architektury rozwiązania”). </w:t>
            </w:r>
            <w:r>
              <w:rPr>
                <w:rFonts w:ascii="Calibri" w:hAnsi="Calibri" w:cs="Calibri"/>
                <w:color w:val="000000"/>
                <w:sz w:val="22"/>
                <w:szCs w:val="22"/>
              </w:rPr>
              <w:t xml:space="preserve">Taki sam obiekt ten nie powinien znajdować </w:t>
            </w:r>
            <w:proofErr w:type="spellStart"/>
            <w:r>
              <w:rPr>
                <w:rFonts w:ascii="Calibri" w:hAnsi="Calibri" w:cs="Calibri"/>
                <w:color w:val="000000"/>
                <w:sz w:val="22"/>
                <w:szCs w:val="22"/>
              </w:rPr>
              <w:t>sie</w:t>
            </w:r>
            <w:proofErr w:type="spellEnd"/>
            <w:r>
              <w:rPr>
                <w:rFonts w:ascii="Calibri" w:hAnsi="Calibri" w:cs="Calibri"/>
                <w:color w:val="000000"/>
                <w:sz w:val="22"/>
                <w:szCs w:val="22"/>
              </w:rPr>
              <w:t xml:space="preserve"> jednocześnie na diagramie komponentów – czy są to 2 oddzielne obiekty (system i komponent w systemie Portal Dziedzictwo Muzyki Polskiej</w:t>
            </w:r>
            <w:proofErr w:type="gramStart"/>
            <w:r>
              <w:rPr>
                <w:rFonts w:ascii="Calibri" w:hAnsi="Calibri" w:cs="Calibri"/>
                <w:color w:val="000000"/>
                <w:sz w:val="22"/>
                <w:szCs w:val="22"/>
              </w:rPr>
              <w:t>) ?</w:t>
            </w:r>
            <w:proofErr w:type="gramEnd"/>
            <w:r>
              <w:rPr>
                <w:rFonts w:ascii="Calibri" w:hAnsi="Calibri" w:cs="Calibri"/>
                <w:color w:val="000000"/>
                <w:sz w:val="22"/>
                <w:szCs w:val="22"/>
              </w:rPr>
              <w:t xml:space="preserve"> Jeśli jest to system planowany w projekcie to proszę o umieszczenie jego komponentów na diagramie komponentów.</w:t>
            </w:r>
          </w:p>
        </w:tc>
        <w:tc>
          <w:tcPr>
            <w:tcW w:w="1984"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Proszę o analizę i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Uwagę uwzględniono i skorygowano OZPI.</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Calibri" w:hAnsi="Calibri" w:cs="Calibri"/>
                <w:color w:val="000000"/>
                <w:sz w:val="22"/>
                <w:szCs w:val="22"/>
              </w:rPr>
            </w:pPr>
            <w:r>
              <w:rPr>
                <w:rFonts w:ascii="Calibri" w:hAnsi="Calibri" w:cs="Calibri"/>
                <w:color w:val="000000"/>
                <w:sz w:val="22"/>
                <w:szCs w:val="22"/>
              </w:rPr>
              <w:t>7.1. Widok kooperacji aplikacji</w:t>
            </w:r>
          </w:p>
        </w:tc>
        <w:tc>
          <w:tcPr>
            <w:tcW w:w="7371" w:type="dxa"/>
          </w:tcPr>
          <w:p w:rsidR="00A15E54" w:rsidRDefault="00000000">
            <w:pPr>
              <w:rPr>
                <w:rFonts w:asciiTheme="minorHAnsi" w:hAnsiTheme="minorHAnsi" w:cstheme="minorHAnsi"/>
                <w:sz w:val="22"/>
                <w:szCs w:val="22"/>
              </w:rPr>
            </w:pPr>
            <w:r>
              <w:rPr>
                <w:rFonts w:asciiTheme="minorHAnsi" w:hAnsiTheme="minorHAnsi" w:cstheme="minorHAnsi"/>
                <w:sz w:val="22"/>
                <w:szCs w:val="22"/>
              </w:rPr>
              <w:t xml:space="preserve">Czy na diagramie kooperacji pokazujemy kooperacje systemów również te przepływy które obecnie istnieją i nie są modyfikowane, czy diagram nie powinien zostać uzupełniony o </w:t>
            </w:r>
            <w:proofErr w:type="gramStart"/>
            <w:r>
              <w:rPr>
                <w:rFonts w:asciiTheme="minorHAnsi" w:hAnsiTheme="minorHAnsi" w:cstheme="minorHAnsi"/>
                <w:sz w:val="22"/>
                <w:szCs w:val="22"/>
              </w:rPr>
              <w:t>systemy :</w:t>
            </w:r>
            <w:proofErr w:type="gramEnd"/>
          </w:p>
          <w:p w:rsidR="00A15E54" w:rsidRDefault="00000000">
            <w:pPr>
              <w:pStyle w:val="Akapitzlist"/>
              <w:numPr>
                <w:ilvl w:val="0"/>
                <w:numId w:val="2"/>
              </w:numPr>
              <w:rPr>
                <w:rFonts w:asciiTheme="minorHAnsi" w:hAnsiTheme="minorHAnsi" w:cstheme="minorHAnsi"/>
                <w:sz w:val="22"/>
                <w:szCs w:val="22"/>
              </w:rPr>
            </w:pPr>
            <w:r>
              <w:rPr>
                <w:rFonts w:asciiTheme="minorHAnsi" w:hAnsiTheme="minorHAnsi" w:cstheme="minorHAnsi"/>
                <w:sz w:val="22"/>
                <w:szCs w:val="22"/>
              </w:rPr>
              <w:t>„RISM” – wymieniony w opisie „Portal dziedzictwo muzyki polskiej”</w:t>
            </w:r>
          </w:p>
          <w:p w:rsidR="00A15E54" w:rsidRDefault="00000000">
            <w:pPr>
              <w:pStyle w:val="Akapitzlist"/>
              <w:numPr>
                <w:ilvl w:val="0"/>
                <w:numId w:val="8"/>
              </w:numPr>
              <w:rPr>
                <w:rFonts w:asciiTheme="minorHAnsi" w:hAnsiTheme="minorHAnsi" w:cstheme="minorHAnsi"/>
                <w:sz w:val="22"/>
                <w:szCs w:val="22"/>
              </w:rPr>
            </w:pPr>
            <w:r>
              <w:rPr>
                <w:rFonts w:asciiTheme="minorHAnsi" w:hAnsiTheme="minorHAnsi" w:cstheme="minorHAnsi"/>
                <w:sz w:val="22"/>
                <w:szCs w:val="22"/>
              </w:rPr>
              <w:t xml:space="preserve">„Polskie Partytury Cyfrowe” (https://polishscores.org/) </w:t>
            </w:r>
          </w:p>
          <w:p w:rsidR="00A15E54" w:rsidRDefault="00000000">
            <w:pPr>
              <w:pStyle w:val="Akapitzlist"/>
              <w:numPr>
                <w:ilvl w:val="0"/>
                <w:numId w:val="8"/>
              </w:numPr>
              <w:rPr>
                <w:rFonts w:asciiTheme="minorHAnsi" w:hAnsiTheme="minorHAnsi" w:cstheme="minorHAnsi"/>
                <w:sz w:val="22"/>
                <w:szCs w:val="22"/>
              </w:rPr>
            </w:pPr>
            <w:r>
              <w:rPr>
                <w:rFonts w:asciiTheme="minorHAnsi" w:hAnsiTheme="minorHAnsi" w:cstheme="minorHAnsi"/>
                <w:sz w:val="22"/>
                <w:szCs w:val="22"/>
              </w:rPr>
              <w:t>„Portal dziedzictwo chopinowskie” (</w:t>
            </w:r>
            <w:hyperlink r:id="rId10" w:tooltip="https://chopin.musicsources.pl" w:history="1">
              <w:r>
                <w:rPr>
                  <w:rStyle w:val="Hipercze"/>
                  <w:rFonts w:asciiTheme="minorHAnsi" w:hAnsiTheme="minorHAnsi" w:cstheme="minorHAnsi"/>
                  <w:sz w:val="22"/>
                  <w:szCs w:val="22"/>
                </w:rPr>
                <w:t>https://chopin.musicsources.pl</w:t>
              </w:r>
            </w:hyperlink>
            <w:r>
              <w:rPr>
                <w:rFonts w:asciiTheme="minorHAnsi" w:hAnsiTheme="minorHAnsi" w:cstheme="minorHAnsi"/>
                <w:sz w:val="22"/>
                <w:szCs w:val="22"/>
              </w:rPr>
              <w:t>)</w:t>
            </w:r>
          </w:p>
          <w:p w:rsidR="00A15E54" w:rsidRDefault="00000000">
            <w:pPr>
              <w:pStyle w:val="Akapitzlist"/>
              <w:numPr>
                <w:ilvl w:val="0"/>
                <w:numId w:val="8"/>
              </w:numPr>
              <w:rPr>
                <w:rFonts w:asciiTheme="minorHAnsi" w:hAnsiTheme="minorHAnsi" w:cstheme="minorHAnsi"/>
                <w:sz w:val="22"/>
                <w:szCs w:val="22"/>
              </w:rPr>
            </w:pPr>
            <w:r>
              <w:rPr>
                <w:rFonts w:asciiTheme="minorHAnsi" w:hAnsiTheme="minorHAnsi" w:cstheme="minorHAnsi"/>
                <w:sz w:val="22"/>
                <w:szCs w:val="22"/>
              </w:rPr>
              <w:t>„IMSLP”</w:t>
            </w:r>
          </w:p>
          <w:p w:rsidR="00A15E54" w:rsidRDefault="00000000">
            <w:pPr>
              <w:pStyle w:val="Akapitzlist"/>
              <w:numPr>
                <w:ilvl w:val="0"/>
                <w:numId w:val="8"/>
              </w:numPr>
              <w:rPr>
                <w:rFonts w:asciiTheme="minorHAnsi" w:hAnsiTheme="minorHAnsi" w:cstheme="minorHAnsi"/>
                <w:sz w:val="22"/>
                <w:szCs w:val="22"/>
              </w:rPr>
            </w:pPr>
            <w:r>
              <w:rPr>
                <w:rFonts w:asciiTheme="minorHAnsi" w:hAnsiTheme="minorHAnsi" w:cstheme="minorHAnsi"/>
                <w:sz w:val="22"/>
                <w:szCs w:val="22"/>
              </w:rPr>
              <w:t>„</w:t>
            </w:r>
            <w:proofErr w:type="spellStart"/>
            <w:r>
              <w:rPr>
                <w:rFonts w:asciiTheme="minorHAnsi" w:hAnsiTheme="minorHAnsi" w:cstheme="minorHAnsi"/>
                <w:sz w:val="22"/>
                <w:szCs w:val="22"/>
              </w:rPr>
              <w:t>Polona</w:t>
            </w:r>
            <w:proofErr w:type="spellEnd"/>
            <w:r>
              <w:rPr>
                <w:rFonts w:asciiTheme="minorHAnsi" w:hAnsiTheme="minorHAnsi" w:cstheme="minorHAnsi"/>
                <w:sz w:val="22"/>
                <w:szCs w:val="22"/>
              </w:rPr>
              <w:t>”</w:t>
            </w:r>
          </w:p>
          <w:p w:rsidR="00A15E54" w:rsidRDefault="00000000">
            <w:pPr>
              <w:pStyle w:val="Akapitzlist"/>
              <w:numPr>
                <w:ilvl w:val="0"/>
                <w:numId w:val="8"/>
              </w:numPr>
              <w:rPr>
                <w:rFonts w:asciiTheme="minorHAnsi" w:hAnsiTheme="minorHAnsi" w:cstheme="minorHAnsi"/>
                <w:sz w:val="22"/>
                <w:szCs w:val="22"/>
              </w:rPr>
            </w:pPr>
            <w:r>
              <w:rPr>
                <w:rFonts w:asciiTheme="minorHAnsi" w:hAnsiTheme="minorHAnsi" w:cstheme="minorHAnsi"/>
                <w:sz w:val="22"/>
                <w:szCs w:val="22"/>
              </w:rPr>
              <w:t>„</w:t>
            </w:r>
            <w:proofErr w:type="spellStart"/>
            <w:r>
              <w:rPr>
                <w:rFonts w:asciiTheme="minorHAnsi" w:hAnsiTheme="minorHAnsi" w:cstheme="minorHAnsi"/>
                <w:sz w:val="22"/>
                <w:szCs w:val="22"/>
              </w:rPr>
              <w:t>WikiMedia</w:t>
            </w:r>
            <w:proofErr w:type="spellEnd"/>
            <w:proofErr w:type="gramStart"/>
            <w:r>
              <w:rPr>
                <w:rFonts w:asciiTheme="minorHAnsi" w:hAnsiTheme="minorHAnsi" w:cstheme="minorHAnsi"/>
                <w:sz w:val="22"/>
                <w:szCs w:val="22"/>
              </w:rPr>
              <w:t>” ?</w:t>
            </w:r>
            <w:proofErr w:type="gramEnd"/>
            <w:r>
              <w:rPr>
                <w:rFonts w:asciiTheme="minorHAnsi" w:hAnsiTheme="minorHAnsi" w:cstheme="minorHAnsi"/>
                <w:sz w:val="22"/>
                <w:szCs w:val="22"/>
              </w:rPr>
              <w:t xml:space="preserve"> </w:t>
            </w:r>
          </w:p>
        </w:tc>
        <w:tc>
          <w:tcPr>
            <w:tcW w:w="1984"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Proszę o analizę i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 xml:space="preserve">Wskazane w uwagach systemy (RISM, IMSLP, Polskie Partytury Cyfrowe) dotyczą wyłącznie danych muzycznych w istniejących projektach NIFC i nie są w żaden sposób integrowane z nowotworzonym systemem oraz modułem. W projekcie </w:t>
            </w:r>
            <w:r>
              <w:rPr>
                <w:rFonts w:asciiTheme="minorHAnsi" w:hAnsiTheme="minorHAnsi" w:cstheme="minorHAnsi"/>
                <w:sz w:val="22"/>
                <w:szCs w:val="22"/>
              </w:rPr>
              <w:lastRenderedPageBreak/>
              <w:t xml:space="preserve">(oraz w przekazanym OZPI) nie ma mowy o </w:t>
            </w:r>
            <w:proofErr w:type="spellStart"/>
            <w:r>
              <w:rPr>
                <w:rFonts w:asciiTheme="minorHAnsi" w:hAnsiTheme="minorHAnsi" w:cstheme="minorHAnsi"/>
                <w:sz w:val="22"/>
                <w:szCs w:val="22"/>
              </w:rPr>
              <w:t>WikiMedia</w:t>
            </w:r>
            <w:proofErr w:type="spellEnd"/>
            <w:r>
              <w:rPr>
                <w:rFonts w:asciiTheme="minorHAnsi" w:hAnsiTheme="minorHAnsi" w:cstheme="minorHAnsi"/>
                <w:sz w:val="22"/>
                <w:szCs w:val="22"/>
              </w:rPr>
              <w:t xml:space="preserve"> czy </w:t>
            </w:r>
            <w:proofErr w:type="spellStart"/>
            <w:r>
              <w:rPr>
                <w:rFonts w:asciiTheme="minorHAnsi" w:hAnsiTheme="minorHAnsi" w:cstheme="minorHAnsi"/>
                <w:sz w:val="22"/>
                <w:szCs w:val="22"/>
              </w:rPr>
              <w:t>Polona</w:t>
            </w:r>
            <w:proofErr w:type="spellEnd"/>
            <w:r>
              <w:rPr>
                <w:rFonts w:asciiTheme="minorHAnsi" w:hAnsiTheme="minorHAnsi" w:cstheme="minorHAnsi"/>
                <w:sz w:val="22"/>
                <w:szCs w:val="22"/>
              </w:rPr>
              <w:t>.</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Calibri" w:hAnsi="Calibri" w:cs="Calibri"/>
                <w:color w:val="000000"/>
                <w:sz w:val="22"/>
                <w:szCs w:val="22"/>
              </w:rPr>
            </w:pPr>
            <w:r>
              <w:rPr>
                <w:rFonts w:ascii="Calibri" w:hAnsi="Calibri" w:cs="Calibri"/>
                <w:color w:val="000000"/>
                <w:sz w:val="22"/>
                <w:szCs w:val="22"/>
              </w:rPr>
              <w:t>7.1. Widok kooperacji aplikacji</w:t>
            </w:r>
          </w:p>
        </w:tc>
        <w:tc>
          <w:tcPr>
            <w:tcW w:w="7371" w:type="dxa"/>
          </w:tcPr>
          <w:p w:rsidR="00A15E54" w:rsidRDefault="00000000">
            <w:pPr>
              <w:rPr>
                <w:rFonts w:asciiTheme="minorHAnsi" w:hAnsiTheme="minorHAnsi" w:cstheme="minorHAnsi"/>
                <w:sz w:val="22"/>
                <w:szCs w:val="22"/>
              </w:rPr>
            </w:pPr>
            <w:r>
              <w:rPr>
                <w:rFonts w:asciiTheme="minorHAnsi" w:hAnsiTheme="minorHAnsi" w:cstheme="minorHAnsi"/>
                <w:sz w:val="22"/>
                <w:szCs w:val="22"/>
              </w:rPr>
              <w:t xml:space="preserve">System będzie wymagał prawdopodobnie logowania od użytkowników niebędących pracownikami gestora/właściciela systemu.  Jeśli tak, proszę o </w:t>
            </w:r>
            <w:proofErr w:type="gramStart"/>
            <w:r>
              <w:rPr>
                <w:rFonts w:asciiTheme="minorHAnsi" w:hAnsiTheme="minorHAnsi" w:cstheme="minorHAnsi"/>
                <w:sz w:val="22"/>
                <w:szCs w:val="22"/>
              </w:rPr>
              <w:t>wyjaśnienie</w:t>
            </w:r>
            <w:proofErr w:type="gramEnd"/>
            <w:r>
              <w:rPr>
                <w:rFonts w:asciiTheme="minorHAnsi" w:hAnsiTheme="minorHAnsi" w:cstheme="minorHAnsi"/>
                <w:sz w:val="22"/>
                <w:szCs w:val="22"/>
              </w:rPr>
              <w:t xml:space="preserve"> dlaczego nie zostanie wykorzystany Węzeł Krajowy lub Transgraniczny lub uwzględnienie integracji z tym rozwiązaniem.</w:t>
            </w:r>
          </w:p>
        </w:tc>
        <w:tc>
          <w:tcPr>
            <w:tcW w:w="1984"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Proszę o analizę i wyjaśnienie lub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System nie wymaga logowania, nie dotyczy</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Calibri" w:hAnsi="Calibri" w:cs="Calibri"/>
                <w:color w:val="000000"/>
                <w:sz w:val="22"/>
                <w:szCs w:val="22"/>
              </w:rPr>
            </w:pPr>
            <w:r>
              <w:rPr>
                <w:rFonts w:ascii="Calibri" w:hAnsi="Calibri" w:cs="Calibri"/>
                <w:color w:val="000000"/>
                <w:sz w:val="22"/>
                <w:szCs w:val="22"/>
              </w:rPr>
              <w:t>7.1. Widok kooperacji aplikacji</w:t>
            </w:r>
          </w:p>
        </w:tc>
        <w:tc>
          <w:tcPr>
            <w:tcW w:w="7371" w:type="dxa"/>
          </w:tcPr>
          <w:p w:rsidR="00A15E54" w:rsidRDefault="00000000">
            <w:pPr>
              <w:rPr>
                <w:rFonts w:asciiTheme="minorHAnsi" w:hAnsiTheme="minorHAnsi" w:cstheme="minorHAnsi"/>
                <w:sz w:val="22"/>
                <w:szCs w:val="22"/>
              </w:rPr>
            </w:pPr>
            <w:r>
              <w:rPr>
                <w:rFonts w:asciiTheme="minorHAnsi" w:hAnsiTheme="minorHAnsi" w:cstheme="minorHAnsi"/>
                <w:sz w:val="22"/>
                <w:szCs w:val="22"/>
              </w:rPr>
              <w:t>Proszę o potwierdzenie, że wszystkie planowane w projekcie procesy wymiany danych z systemami zostały uzgodnione z gestorami systemów, o ile jest to wymagane.</w:t>
            </w:r>
          </w:p>
        </w:tc>
        <w:tc>
          <w:tcPr>
            <w:tcW w:w="1984"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Proszę o analizę i wyjaśnienie lub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Procesy wymiany nie wymagają dodatkowych uzgodnień z gestorami.</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Calibri" w:hAnsi="Calibri" w:cs="Calibri"/>
                <w:color w:val="000000"/>
                <w:sz w:val="22"/>
                <w:szCs w:val="22"/>
              </w:rPr>
            </w:pPr>
            <w:r>
              <w:rPr>
                <w:rFonts w:ascii="Calibri" w:hAnsi="Calibri" w:cs="Calibri"/>
                <w:color w:val="000000"/>
                <w:sz w:val="22"/>
                <w:szCs w:val="22"/>
              </w:rPr>
              <w:t>7.1. Widok kooperacji aplikacji</w:t>
            </w:r>
          </w:p>
        </w:tc>
        <w:tc>
          <w:tcPr>
            <w:tcW w:w="7371" w:type="dxa"/>
          </w:tcPr>
          <w:p w:rsidR="00A15E54" w:rsidRDefault="00000000">
            <w:pPr>
              <w:rPr>
                <w:rFonts w:asciiTheme="minorHAnsi" w:hAnsiTheme="minorHAnsi" w:cstheme="minorHAnsi"/>
                <w:sz w:val="22"/>
                <w:szCs w:val="22"/>
              </w:rPr>
            </w:pPr>
            <w:r>
              <w:rPr>
                <w:rFonts w:asciiTheme="minorHAnsi" w:hAnsiTheme="minorHAnsi" w:cstheme="minorHAnsi"/>
                <w:sz w:val="22"/>
                <w:szCs w:val="22"/>
              </w:rPr>
              <w:t>W tabeli przepływów powinny być wymienione jedynie te, w których przesyłane są dane merytoryczne. Przepływy oznaczające zapytania o dane, komunikację techniczną itp. nie powinny być wymieniane ani pokazywane na diagramie.</w:t>
            </w:r>
          </w:p>
        </w:tc>
        <w:tc>
          <w:tcPr>
            <w:tcW w:w="1984"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Proszę o analizę i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Tabela wymienia jedynie przepływy uwzględniające dane merytoryczne.</w:t>
            </w:r>
          </w:p>
        </w:tc>
      </w:tr>
      <w:tr w:rsidR="00A15E54">
        <w:tc>
          <w:tcPr>
            <w:tcW w:w="562" w:type="dxa"/>
          </w:tcPr>
          <w:p w:rsidR="00A15E54" w:rsidRDefault="00A15E54">
            <w:pPr>
              <w:pStyle w:val="Akapitzlist"/>
              <w:numPr>
                <w:ilvl w:val="0"/>
                <w:numId w:val="1"/>
              </w:numPr>
              <w:ind w:left="0" w:firstLine="0"/>
              <w:jc w:val="center"/>
              <w:rPr>
                <w:rFonts w:asciiTheme="minorHAnsi" w:hAnsiTheme="minorHAnsi" w:cstheme="minorHAnsi"/>
                <w:b/>
                <w:sz w:val="22"/>
                <w:szCs w:val="22"/>
              </w:rPr>
            </w:pPr>
          </w:p>
        </w:tc>
        <w:tc>
          <w:tcPr>
            <w:tcW w:w="1134" w:type="dxa"/>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RA IT</w:t>
            </w:r>
          </w:p>
        </w:tc>
        <w:tc>
          <w:tcPr>
            <w:tcW w:w="1418" w:type="dxa"/>
          </w:tcPr>
          <w:p w:rsidR="00A15E54" w:rsidRDefault="00000000">
            <w:pPr>
              <w:jc w:val="center"/>
              <w:rPr>
                <w:rFonts w:ascii="Calibri" w:hAnsi="Calibri" w:cs="Calibri"/>
                <w:color w:val="000000"/>
                <w:sz w:val="22"/>
                <w:szCs w:val="22"/>
              </w:rPr>
            </w:pPr>
            <w:r>
              <w:rPr>
                <w:rFonts w:ascii="Calibri" w:hAnsi="Calibri" w:cs="Calibri"/>
                <w:color w:val="000000"/>
                <w:sz w:val="22"/>
                <w:szCs w:val="22"/>
              </w:rPr>
              <w:t>7.2. Kluczowe komponenty architektury rozwiązania</w:t>
            </w:r>
          </w:p>
        </w:tc>
        <w:tc>
          <w:tcPr>
            <w:tcW w:w="7371" w:type="dxa"/>
          </w:tcPr>
          <w:p w:rsidR="00A15E54" w:rsidRDefault="00000000">
            <w:pPr>
              <w:rPr>
                <w:rFonts w:asciiTheme="minorHAnsi" w:hAnsiTheme="minorHAnsi" w:cstheme="minorHAnsi"/>
                <w:sz w:val="22"/>
                <w:szCs w:val="22"/>
              </w:rPr>
            </w:pPr>
            <w:r>
              <w:rPr>
                <w:rFonts w:asciiTheme="minorHAnsi" w:hAnsiTheme="minorHAnsi" w:cstheme="minorHAnsi"/>
                <w:sz w:val="22"/>
                <w:szCs w:val="22"/>
              </w:rPr>
              <w:t xml:space="preserve">Brak spójności pomiędzy produktami wykazywanymi w pkt 2.4, 7.1 i 7.2 </w:t>
            </w:r>
          </w:p>
          <w:p w:rsidR="00A15E54" w:rsidRDefault="00A15E54">
            <w:pPr>
              <w:rPr>
                <w:rFonts w:asciiTheme="minorHAnsi" w:hAnsiTheme="minorHAnsi" w:cstheme="minorHAnsi"/>
                <w:sz w:val="22"/>
                <w:szCs w:val="22"/>
              </w:rPr>
            </w:pPr>
          </w:p>
          <w:p w:rsidR="00A15E54" w:rsidRDefault="00000000">
            <w:pPr>
              <w:rPr>
                <w:rFonts w:asciiTheme="minorHAnsi" w:hAnsiTheme="minorHAnsi" w:cstheme="minorHAnsi"/>
                <w:sz w:val="22"/>
                <w:szCs w:val="22"/>
              </w:rPr>
            </w:pPr>
            <w:r>
              <w:rPr>
                <w:rFonts w:asciiTheme="minorHAnsi" w:hAnsiTheme="minorHAnsi" w:cstheme="minorHAnsi"/>
                <w:sz w:val="22"/>
                <w:szCs w:val="22"/>
              </w:rPr>
              <w:t xml:space="preserve">„Platforma VOD” jest osobnym systemem, pokazanym na diagramie w </w:t>
            </w:r>
            <w:r>
              <w:rPr>
                <w:rFonts w:ascii="Calibri" w:hAnsi="Calibri" w:cs="Calibri"/>
                <w:color w:val="000000"/>
                <w:sz w:val="22"/>
                <w:szCs w:val="22"/>
              </w:rPr>
              <w:t xml:space="preserve">7.1. „Widok kooperacji aplikacji”, taki sam obiekt ten nie powinien znajdować się jednocześnie na diagramie komponentów. Jeśli jest to </w:t>
            </w:r>
            <w:r>
              <w:rPr>
                <w:rFonts w:ascii="Calibri" w:hAnsi="Calibri" w:cs="Calibri"/>
                <w:b/>
                <w:bCs/>
                <w:color w:val="000000"/>
                <w:sz w:val="22"/>
                <w:szCs w:val="22"/>
              </w:rPr>
              <w:t>system planowany w projekcie</w:t>
            </w:r>
            <w:r>
              <w:rPr>
                <w:rFonts w:ascii="Calibri" w:hAnsi="Calibri" w:cs="Calibri"/>
                <w:color w:val="000000"/>
                <w:sz w:val="22"/>
                <w:szCs w:val="22"/>
              </w:rPr>
              <w:t xml:space="preserve"> to proszę o umieszczenie jego komponentów na diagramie komponentów. </w:t>
            </w:r>
          </w:p>
        </w:tc>
        <w:tc>
          <w:tcPr>
            <w:tcW w:w="1984"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Proszę o analizę i korektę opisu założeń</w:t>
            </w:r>
          </w:p>
        </w:tc>
        <w:tc>
          <w:tcPr>
            <w:tcW w:w="291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Uwaga uwzględniona – skorygowano OZPI. Platforma VOD jest osobnym systemem, który uwidoczniono na diagramie kooperacji aplikacji, bowiem zgodnie z opisem zachodzi tu wymiana. Jednocześnie jest to system planowany w projekcie i jako taki został oznaczony jako komponent w pkt. 7.2.</w:t>
            </w:r>
          </w:p>
        </w:tc>
      </w:tr>
    </w:tbl>
    <w:p w:rsidR="00A15E54" w:rsidRDefault="00A15E54">
      <w:pPr>
        <w:jc w:val="center"/>
      </w:pPr>
    </w:p>
    <w:tbl>
      <w:tblPr>
        <w:tblW w:w="1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9"/>
        <w:gridCol w:w="1704"/>
        <w:gridCol w:w="1418"/>
        <w:gridCol w:w="5953"/>
        <w:gridCol w:w="1985"/>
        <w:gridCol w:w="3709"/>
      </w:tblGrid>
      <w:tr w:rsidR="00A15E54">
        <w:trPr>
          <w:trHeight w:val="893"/>
        </w:trPr>
        <w:tc>
          <w:tcPr>
            <w:tcW w:w="15328" w:type="dxa"/>
            <w:gridSpan w:val="6"/>
            <w:vAlign w:val="center"/>
          </w:tcPr>
          <w:p w:rsidR="00A15E54" w:rsidRDefault="00000000">
            <w:pPr>
              <w:spacing w:before="120" w:after="120"/>
              <w:rPr>
                <w:rFonts w:asciiTheme="minorHAnsi" w:hAnsiTheme="minorHAnsi" w:cstheme="minorHAnsi"/>
                <w:b/>
                <w:i/>
                <w:sz w:val="22"/>
                <w:szCs w:val="22"/>
              </w:rPr>
            </w:pPr>
            <w:r>
              <w:rPr>
                <w:rFonts w:asciiTheme="minorHAnsi" w:hAnsiTheme="minorHAnsi" w:cstheme="minorHAnsi"/>
                <w:b/>
                <w:i/>
                <w:sz w:val="22"/>
                <w:szCs w:val="22"/>
              </w:rPr>
              <w:t>Nazwa dokumentu:</w:t>
            </w:r>
            <w:r>
              <w:t xml:space="preserve"> </w:t>
            </w:r>
            <w:proofErr w:type="spellStart"/>
            <w:r>
              <w:rPr>
                <w:rFonts w:asciiTheme="minorHAnsi" w:hAnsiTheme="minorHAnsi" w:cstheme="minorHAnsi"/>
                <w:b/>
                <w:i/>
                <w:sz w:val="22"/>
                <w:szCs w:val="22"/>
              </w:rPr>
              <w:t>MKiDN</w:t>
            </w:r>
            <w:proofErr w:type="spellEnd"/>
            <w:r>
              <w:rPr>
                <w:rFonts w:asciiTheme="minorHAnsi" w:hAnsiTheme="minorHAnsi" w:cstheme="minorHAnsi"/>
                <w:b/>
                <w:i/>
                <w:sz w:val="22"/>
                <w:szCs w:val="22"/>
              </w:rPr>
              <w:t xml:space="preserve"> - NIFC - Chopin 2.0 – Cyfrowa Platforma VOD zasobów naukowych NIFC</w:t>
            </w:r>
          </w:p>
          <w:p w:rsidR="00A15E54" w:rsidRDefault="00A15E54">
            <w:pPr>
              <w:spacing w:before="120" w:after="120"/>
              <w:rPr>
                <w:rFonts w:asciiTheme="minorHAnsi" w:hAnsiTheme="minorHAnsi" w:cstheme="minorHAnsi"/>
                <w:b/>
                <w:i/>
                <w:sz w:val="22"/>
                <w:szCs w:val="22"/>
              </w:rPr>
            </w:pPr>
          </w:p>
        </w:tc>
      </w:tr>
      <w:tr w:rsidR="00A15E54">
        <w:trPr>
          <w:trHeight w:val="1090"/>
        </w:trPr>
        <w:tc>
          <w:tcPr>
            <w:tcW w:w="559" w:type="dxa"/>
            <w:vAlign w:val="center"/>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Lp.</w:t>
            </w:r>
          </w:p>
        </w:tc>
        <w:tc>
          <w:tcPr>
            <w:tcW w:w="1704" w:type="dxa"/>
            <w:vAlign w:val="center"/>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Organ wnoszący uwagi</w:t>
            </w:r>
          </w:p>
        </w:tc>
        <w:tc>
          <w:tcPr>
            <w:tcW w:w="1418" w:type="dxa"/>
            <w:vAlign w:val="center"/>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Jednostka redakcyjna, do której wnoszone są uwagi</w:t>
            </w:r>
          </w:p>
        </w:tc>
        <w:tc>
          <w:tcPr>
            <w:tcW w:w="5953" w:type="dxa"/>
            <w:vAlign w:val="center"/>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Treść uwagi</w:t>
            </w:r>
          </w:p>
        </w:tc>
        <w:tc>
          <w:tcPr>
            <w:tcW w:w="1985" w:type="dxa"/>
            <w:vAlign w:val="center"/>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Propozycja zmian zapisu</w:t>
            </w:r>
          </w:p>
        </w:tc>
        <w:tc>
          <w:tcPr>
            <w:tcW w:w="3709" w:type="dxa"/>
            <w:vAlign w:val="center"/>
          </w:tcPr>
          <w:p w:rsidR="00A15E54" w:rsidRDefault="00000000">
            <w:pPr>
              <w:jc w:val="center"/>
              <w:rPr>
                <w:rFonts w:asciiTheme="minorHAnsi" w:hAnsiTheme="minorHAnsi" w:cstheme="minorHAnsi"/>
                <w:b/>
                <w:sz w:val="22"/>
                <w:szCs w:val="22"/>
              </w:rPr>
            </w:pPr>
            <w:r>
              <w:rPr>
                <w:rFonts w:asciiTheme="minorHAnsi" w:hAnsiTheme="minorHAnsi" w:cstheme="minorHAnsi"/>
                <w:b/>
                <w:sz w:val="22"/>
                <w:szCs w:val="22"/>
              </w:rPr>
              <w:t>Odniesienie do uwagi</w:t>
            </w:r>
          </w:p>
        </w:tc>
      </w:tr>
      <w:tr w:rsidR="00A15E54">
        <w:trPr>
          <w:trHeight w:val="988"/>
        </w:trPr>
        <w:tc>
          <w:tcPr>
            <w:tcW w:w="559" w:type="dxa"/>
          </w:tcPr>
          <w:p w:rsidR="00A15E54" w:rsidRDefault="00000000">
            <w:pPr>
              <w:spacing w:before="120" w:after="120"/>
              <w:jc w:val="center"/>
              <w:rPr>
                <w:rFonts w:asciiTheme="minorHAnsi" w:hAnsiTheme="minorHAnsi" w:cstheme="minorHAnsi"/>
                <w:b/>
                <w:sz w:val="22"/>
                <w:szCs w:val="22"/>
              </w:rPr>
            </w:pPr>
            <w:r>
              <w:rPr>
                <w:rFonts w:asciiTheme="minorHAnsi" w:hAnsiTheme="minorHAnsi" w:cstheme="minorHAnsi"/>
                <w:b/>
                <w:sz w:val="22"/>
                <w:szCs w:val="22"/>
              </w:rPr>
              <w:lastRenderedPageBreak/>
              <w:t>1</w:t>
            </w:r>
          </w:p>
        </w:tc>
        <w:tc>
          <w:tcPr>
            <w:tcW w:w="1704" w:type="dxa"/>
          </w:tcPr>
          <w:p w:rsidR="00A15E54" w:rsidRDefault="00000000">
            <w:pPr>
              <w:spacing w:before="60" w:after="60"/>
              <w:jc w:val="center"/>
              <w:rPr>
                <w:rFonts w:asciiTheme="minorHAnsi" w:hAnsiTheme="minorHAnsi" w:cstheme="minorHAnsi"/>
                <w:b/>
                <w:sz w:val="22"/>
                <w:szCs w:val="22"/>
              </w:rPr>
            </w:pPr>
            <w:r>
              <w:rPr>
                <w:rFonts w:asciiTheme="minorHAnsi" w:hAnsiTheme="minorHAnsi" w:cstheme="minorHAnsi"/>
                <w:b/>
                <w:sz w:val="22"/>
                <w:szCs w:val="22"/>
              </w:rPr>
              <w:t>Ministerstwo Cyfryzacji/DZD</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 xml:space="preserve"> „Kamienie milowe” oraz rozdział 2.4 „Produkty końcowe projektu”</w:t>
            </w:r>
          </w:p>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7.3 Przyjęte założenia technologiczne</w:t>
            </w:r>
          </w:p>
        </w:tc>
        <w:tc>
          <w:tcPr>
            <w:tcW w:w="5953"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W harmonogramie przewidziano migrację zasobów do portalu KRONIK@ jako jeden z ostatnich kamieni milowych projektu. Jednocześnie dokumentacja nie wskazuje standardów metadanych, zakresu integracji ani sposobu zapewnienia zgodności danych z wymaganiami systemu KRONIK@. </w:t>
            </w:r>
          </w:p>
          <w:p w:rsidR="00A15E54" w:rsidRDefault="00A15E54">
            <w:pPr>
              <w:jc w:val="center"/>
              <w:rPr>
                <w:rFonts w:asciiTheme="minorHAnsi" w:hAnsiTheme="minorHAnsi" w:cstheme="minorHAnsi"/>
                <w:sz w:val="22"/>
                <w:szCs w:val="22"/>
              </w:rPr>
            </w:pPr>
          </w:p>
        </w:tc>
        <w:tc>
          <w:tcPr>
            <w:tcW w:w="1985"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Prosimy o uzupełnienie dokumentacji o informacje dotyczące standardów metadanych, sposobu integracji oraz mechanizmów zapewniających zgodność danych z wymaganiami systemu KRONIK@.</w:t>
            </w:r>
          </w:p>
          <w:p w:rsidR="00A15E54" w:rsidRDefault="00A15E54">
            <w:pPr>
              <w:jc w:val="center"/>
              <w:rPr>
                <w:rFonts w:asciiTheme="minorHAnsi" w:hAnsiTheme="minorHAnsi" w:cstheme="minorHAnsi"/>
                <w:sz w:val="22"/>
                <w:szCs w:val="22"/>
              </w:rPr>
            </w:pPr>
          </w:p>
        </w:tc>
        <w:tc>
          <w:tcPr>
            <w:tcW w:w="3709" w:type="dxa"/>
          </w:tcPr>
          <w:p w:rsidR="00A15E54" w:rsidRPr="009C420C" w:rsidRDefault="00000000">
            <w:pPr>
              <w:pBdr>
                <w:top w:val="none" w:sz="4" w:space="0" w:color="000000"/>
                <w:left w:val="none" w:sz="4" w:space="0" w:color="000000"/>
                <w:bottom w:val="none" w:sz="4" w:space="0" w:color="000000"/>
                <w:right w:val="none" w:sz="4" w:space="0" w:color="000000"/>
              </w:pBdr>
              <w:spacing w:line="330" w:lineRule="atLeast"/>
              <w:rPr>
                <w:rFonts w:asciiTheme="minorHAnsi" w:hAnsiTheme="minorHAnsi" w:cstheme="minorHAnsi"/>
                <w:sz w:val="22"/>
                <w:szCs w:val="22"/>
              </w:rPr>
            </w:pPr>
            <w:r w:rsidRPr="009C420C">
              <w:rPr>
                <w:rFonts w:asciiTheme="minorHAnsi" w:eastAsia="Arial" w:hAnsiTheme="minorHAnsi" w:cstheme="minorHAnsi"/>
                <w:color w:val="1B1D22"/>
                <w:spacing w:val="-2"/>
                <w:sz w:val="22"/>
                <w:szCs w:val="22"/>
              </w:rPr>
              <w:t xml:space="preserve">W ramach projektu zostanie zapewniona kompatybilność z systemem KRONIK@. Wszystkie wytworzone w ramach projektu dane – Informacje Sektora Publicznego – </w:t>
            </w:r>
            <w:proofErr w:type="spellStart"/>
            <w:r w:rsidRPr="009C420C">
              <w:rPr>
                <w:rFonts w:asciiTheme="minorHAnsi" w:eastAsia="Arial" w:hAnsiTheme="minorHAnsi" w:cstheme="minorHAnsi"/>
                <w:color w:val="1B1D22"/>
                <w:spacing w:val="-2"/>
                <w:sz w:val="22"/>
                <w:szCs w:val="22"/>
              </w:rPr>
              <w:t>zdigitalizowane</w:t>
            </w:r>
            <w:proofErr w:type="spellEnd"/>
            <w:r w:rsidRPr="009C420C">
              <w:rPr>
                <w:rFonts w:asciiTheme="minorHAnsi" w:eastAsia="Arial" w:hAnsiTheme="minorHAnsi" w:cstheme="minorHAnsi"/>
                <w:color w:val="1B1D22"/>
                <w:spacing w:val="-2"/>
                <w:sz w:val="22"/>
                <w:szCs w:val="22"/>
              </w:rPr>
              <w:t xml:space="preserve"> w ramach projektu i udostępnione w nowo wytworzonym module korespondencji i platformie VOD – będą opatrzone ustandaryzowanymi metadanymi. Metadane będą utrzymywane w standardzie Dublin </w:t>
            </w:r>
            <w:proofErr w:type="spellStart"/>
            <w:r w:rsidRPr="009C420C">
              <w:rPr>
                <w:rFonts w:asciiTheme="minorHAnsi" w:eastAsia="Arial" w:hAnsiTheme="minorHAnsi" w:cstheme="minorHAnsi"/>
                <w:color w:val="1B1D22"/>
                <w:spacing w:val="-2"/>
                <w:sz w:val="22"/>
                <w:szCs w:val="22"/>
              </w:rPr>
              <w:t>Core</w:t>
            </w:r>
            <w:proofErr w:type="spellEnd"/>
            <w:r w:rsidRPr="009C420C">
              <w:rPr>
                <w:rFonts w:asciiTheme="minorHAnsi" w:eastAsia="Arial" w:hAnsiTheme="minorHAnsi" w:cstheme="minorHAnsi"/>
                <w:color w:val="1B1D22"/>
                <w:spacing w:val="-2"/>
                <w:sz w:val="22"/>
                <w:szCs w:val="22"/>
              </w:rPr>
              <w:t xml:space="preserve"> DCMI oraz projektowane z uwzględnieniem możliwości ich mapowania do modelu CIDOC-CRM, stanowiącego powszechnie stosowany standard interoperacyjności w obszarze dziedzictwa kulturowego. Ponadto przewiduje się możliwość konwersji metadanych do innych rozpowszechnionych formatów, w szczególności MODS oraz MARC21, co dodatkowo zwiększy interoperacyjność danych. Metadane wytworzone w ramach projektu będą wykorzystywały słownictwo kontrolowane oraz odnośniki do zewnętrznych słowników i identyfikatorów, co umożliwi wydajne, nieredundantne i semantycznie spójne włączenie rekordów do systemu </w:t>
            </w:r>
            <w:r w:rsidRPr="009C420C">
              <w:rPr>
                <w:rFonts w:asciiTheme="minorHAnsi" w:eastAsia="Arial" w:hAnsiTheme="minorHAnsi" w:cstheme="minorHAnsi"/>
                <w:color w:val="1B1D22"/>
                <w:spacing w:val="-2"/>
                <w:sz w:val="22"/>
                <w:szCs w:val="22"/>
              </w:rPr>
              <w:lastRenderedPageBreak/>
              <w:t xml:space="preserve">KRONIK@. </w:t>
            </w:r>
            <w:proofErr w:type="spellStart"/>
            <w:r w:rsidRPr="009C420C">
              <w:rPr>
                <w:rFonts w:asciiTheme="minorHAnsi" w:eastAsia="Arial" w:hAnsiTheme="minorHAnsi" w:cstheme="minorHAnsi"/>
                <w:color w:val="1B1D22"/>
                <w:spacing w:val="-2"/>
                <w:sz w:val="22"/>
                <w:szCs w:val="22"/>
              </w:rPr>
              <w:t>Zdigitalizowane</w:t>
            </w:r>
            <w:proofErr w:type="spellEnd"/>
            <w:r w:rsidRPr="009C420C">
              <w:rPr>
                <w:rFonts w:asciiTheme="minorHAnsi" w:eastAsia="Arial" w:hAnsiTheme="minorHAnsi" w:cstheme="minorHAnsi"/>
                <w:color w:val="1B1D22"/>
                <w:spacing w:val="-2"/>
                <w:sz w:val="22"/>
                <w:szCs w:val="22"/>
              </w:rPr>
              <w:t xml:space="preserve"> obiekty będą udostępniane w wielu formatach, w tym również za pośrednictwem standardu IIIF dla obiektów graficznych. Zarówno metadane, jak i obiekty cyfrowe będą udostępniane za pomocą interfejsów REST API wykorzystujących otwarte formaty wymiany danych, zgodnie z architekturą interoperacyjności przyjętą w systemie KRONIK@.</w:t>
            </w:r>
          </w:p>
          <w:p w:rsidR="00A15E54" w:rsidRPr="009C420C" w:rsidRDefault="00A15E54">
            <w:pPr>
              <w:jc w:val="center"/>
              <w:rPr>
                <w:rFonts w:asciiTheme="minorHAnsi" w:hAnsiTheme="minorHAnsi" w:cstheme="minorHAnsi"/>
                <w:sz w:val="22"/>
                <w:szCs w:val="22"/>
              </w:rPr>
            </w:pPr>
          </w:p>
        </w:tc>
      </w:tr>
      <w:tr w:rsidR="00A15E54">
        <w:trPr>
          <w:trHeight w:val="1202"/>
        </w:trPr>
        <w:tc>
          <w:tcPr>
            <w:tcW w:w="559" w:type="dxa"/>
          </w:tcPr>
          <w:p w:rsidR="00A15E54" w:rsidRDefault="00000000">
            <w:pPr>
              <w:spacing w:before="120" w:after="120"/>
              <w:jc w:val="center"/>
              <w:rPr>
                <w:rFonts w:asciiTheme="minorHAnsi" w:hAnsiTheme="minorHAnsi" w:cstheme="minorHAnsi"/>
                <w:b/>
                <w:sz w:val="22"/>
                <w:szCs w:val="22"/>
              </w:rPr>
            </w:pPr>
            <w:r>
              <w:rPr>
                <w:rFonts w:asciiTheme="minorHAnsi" w:hAnsiTheme="minorHAnsi" w:cstheme="minorHAnsi"/>
                <w:b/>
                <w:sz w:val="22"/>
                <w:szCs w:val="22"/>
              </w:rPr>
              <w:lastRenderedPageBreak/>
              <w:t>2</w:t>
            </w:r>
          </w:p>
        </w:tc>
        <w:tc>
          <w:tcPr>
            <w:tcW w:w="1704" w:type="dxa"/>
          </w:tcPr>
          <w:p w:rsidR="00A15E54" w:rsidRDefault="00000000">
            <w:pPr>
              <w:spacing w:before="60" w:after="60"/>
              <w:jc w:val="center"/>
              <w:rPr>
                <w:rFonts w:asciiTheme="minorHAnsi" w:hAnsiTheme="minorHAnsi" w:cstheme="minorHAnsi"/>
                <w:b/>
                <w:sz w:val="22"/>
                <w:szCs w:val="22"/>
              </w:rPr>
            </w:pPr>
            <w:r>
              <w:rPr>
                <w:rFonts w:asciiTheme="minorHAnsi" w:hAnsiTheme="minorHAnsi" w:cstheme="minorHAnsi"/>
                <w:b/>
                <w:sz w:val="22"/>
                <w:szCs w:val="22"/>
              </w:rPr>
              <w:t>Ministerstwo Cyfryzacji/DZD</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7.3 „Przyjęte założenia technologiczne</w:t>
            </w:r>
          </w:p>
        </w:tc>
        <w:tc>
          <w:tcPr>
            <w:tcW w:w="5953"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Tabela dotycząca przyjętych założeń technologicznych pozostaje niewypełniona. Brak informacji dotyczących infrastruktury, bezpieczeństwa, standardów wymiany danych, baz danych, systemów operacyjnych i serwerów aplikacyjnych uniemożliwia ocenę kompletności architektury rozwiązania. </w:t>
            </w:r>
          </w:p>
          <w:p w:rsidR="00A15E54" w:rsidRDefault="00A15E54">
            <w:pPr>
              <w:jc w:val="center"/>
              <w:rPr>
                <w:rFonts w:asciiTheme="minorHAnsi" w:hAnsiTheme="minorHAnsi" w:cstheme="minorHAnsi"/>
                <w:sz w:val="22"/>
                <w:szCs w:val="22"/>
              </w:rPr>
            </w:pPr>
          </w:p>
        </w:tc>
        <w:tc>
          <w:tcPr>
            <w:tcW w:w="1985"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Prosimy o uzupełnienie wszystkich pól tabeli w rozdziale 7.3.</w:t>
            </w:r>
          </w:p>
          <w:p w:rsidR="00A15E54" w:rsidRDefault="00A15E54">
            <w:pPr>
              <w:jc w:val="center"/>
              <w:rPr>
                <w:rFonts w:asciiTheme="minorHAnsi" w:hAnsiTheme="minorHAnsi" w:cstheme="minorHAnsi"/>
                <w:sz w:val="22"/>
                <w:szCs w:val="22"/>
              </w:rPr>
            </w:pPr>
          </w:p>
        </w:tc>
        <w:tc>
          <w:tcPr>
            <w:tcW w:w="370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 xml:space="preserve">W tabeli nie przyjęto sztywnych założeń lub ograniczeń technologicznych, w związku z czy, zgodnie z instrukcją formularza pole pozostaje niewypełnione. </w:t>
            </w:r>
          </w:p>
        </w:tc>
      </w:tr>
      <w:tr w:rsidR="00A15E54">
        <w:trPr>
          <w:trHeight w:val="923"/>
        </w:trPr>
        <w:tc>
          <w:tcPr>
            <w:tcW w:w="559" w:type="dxa"/>
          </w:tcPr>
          <w:p w:rsidR="00A15E54" w:rsidRDefault="00000000">
            <w:pPr>
              <w:spacing w:before="120" w:after="120"/>
              <w:jc w:val="center"/>
              <w:rPr>
                <w:rFonts w:asciiTheme="minorHAnsi" w:hAnsiTheme="minorHAnsi" w:cstheme="minorHAnsi"/>
                <w:b/>
                <w:sz w:val="22"/>
                <w:szCs w:val="22"/>
              </w:rPr>
            </w:pPr>
            <w:r>
              <w:rPr>
                <w:rFonts w:asciiTheme="minorHAnsi" w:hAnsiTheme="minorHAnsi" w:cstheme="minorHAnsi"/>
                <w:b/>
                <w:sz w:val="22"/>
                <w:szCs w:val="22"/>
              </w:rPr>
              <w:t>3</w:t>
            </w:r>
          </w:p>
        </w:tc>
        <w:tc>
          <w:tcPr>
            <w:tcW w:w="1704" w:type="dxa"/>
          </w:tcPr>
          <w:p w:rsidR="00A15E54" w:rsidRDefault="00000000">
            <w:pPr>
              <w:spacing w:before="60" w:after="60"/>
              <w:jc w:val="center"/>
              <w:rPr>
                <w:rFonts w:asciiTheme="minorHAnsi" w:hAnsiTheme="minorHAnsi" w:cstheme="minorHAnsi"/>
                <w:b/>
                <w:sz w:val="22"/>
                <w:szCs w:val="22"/>
              </w:rPr>
            </w:pPr>
            <w:r>
              <w:rPr>
                <w:rFonts w:asciiTheme="minorHAnsi" w:hAnsiTheme="minorHAnsi" w:cstheme="minorHAnsi"/>
                <w:b/>
                <w:sz w:val="22"/>
                <w:szCs w:val="22"/>
              </w:rPr>
              <w:t>Ministerstwo Cyfryzacji/DZD</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4.2 „Wykaz poszczególnych pozycji kosztowych”</w:t>
            </w:r>
          </w:p>
        </w:tc>
        <w:tc>
          <w:tcPr>
            <w:tcW w:w="5953"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W strukturze kosztów projektu dominują wydatki związane z wytworzeniem i utrzymaniem oprogramowania oraz kosztami zarządzania projektem. Na stworzenie platformy VOD i modułu korespondencji przewidziano 19,3 mln zł, natomiast koszty zarządzania i wsparcia wynoszą 11,5 mln zł, co stanowi blisko 33% całkowitego budżetu projektu. Jednocześnie zakres digitalizacji obejmuje 9 920 obiektów. </w:t>
            </w:r>
          </w:p>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Przedstawiona struktura kosztów może wskazywać, że zasadnicza część środków przeznaczona jest na działania organizacyjne i informatyczne, a nie na właściwe działania digitalizacyjne.</w:t>
            </w:r>
          </w:p>
          <w:p w:rsidR="00A15E54" w:rsidRDefault="00A15E54">
            <w:pPr>
              <w:jc w:val="center"/>
              <w:rPr>
                <w:rFonts w:asciiTheme="minorHAnsi" w:hAnsiTheme="minorHAnsi" w:cstheme="minorHAnsi"/>
                <w:sz w:val="22"/>
                <w:szCs w:val="22"/>
              </w:rPr>
            </w:pPr>
          </w:p>
        </w:tc>
        <w:tc>
          <w:tcPr>
            <w:tcW w:w="1985"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Zasadna wydaje się korekta budżetu projektu poprzez ograniczenie kosztów zarządzania i wsparcia oraz zapewnienie proporcjonalnego udziału wydatków bezpośrednio związanych z digitalizacją i udostępnianiem zasobów.</w:t>
            </w:r>
          </w:p>
          <w:p w:rsidR="00A15E54" w:rsidRDefault="00A15E54">
            <w:pPr>
              <w:jc w:val="center"/>
              <w:rPr>
                <w:rFonts w:asciiTheme="minorHAnsi" w:hAnsiTheme="minorHAnsi" w:cstheme="minorHAnsi"/>
                <w:sz w:val="22"/>
                <w:szCs w:val="22"/>
              </w:rPr>
            </w:pPr>
          </w:p>
        </w:tc>
        <w:tc>
          <w:tcPr>
            <w:tcW w:w="3709" w:type="dxa"/>
          </w:tcPr>
          <w:p w:rsidR="00A15E54" w:rsidRDefault="00000000">
            <w:pPr>
              <w:jc w:val="center"/>
              <w:rPr>
                <w:rFonts w:ascii="Calibri" w:hAnsi="Calibri" w:cs="Calibri"/>
                <w:color w:val="000000"/>
                <w:sz w:val="22"/>
                <w:szCs w:val="22"/>
              </w:rPr>
            </w:pPr>
            <w:r>
              <w:rPr>
                <w:rFonts w:ascii="Calibri" w:hAnsi="Calibri" w:cs="Calibri"/>
                <w:color w:val="000000"/>
                <w:sz w:val="22"/>
                <w:szCs w:val="22"/>
              </w:rPr>
              <w:t xml:space="preserve">Uwzględniono modyfikacje w pkt. 4.2. </w:t>
            </w:r>
          </w:p>
          <w:p w:rsidR="009C420C" w:rsidRDefault="009C420C">
            <w:pPr>
              <w:jc w:val="center"/>
              <w:rPr>
                <w:rFonts w:ascii="Calibri" w:hAnsi="Calibri" w:cs="Calibri"/>
                <w:color w:val="000000"/>
                <w:sz w:val="22"/>
                <w:szCs w:val="22"/>
              </w:rPr>
            </w:pPr>
          </w:p>
          <w:p w:rsidR="00A15E54" w:rsidRDefault="00000000">
            <w:pPr>
              <w:jc w:val="center"/>
              <w:rPr>
                <w:rFonts w:ascii="Calibri" w:hAnsi="Calibri" w:cs="Calibri"/>
                <w:color w:val="000000"/>
                <w:sz w:val="22"/>
                <w:szCs w:val="22"/>
              </w:rPr>
            </w:pPr>
            <w:r>
              <w:rPr>
                <w:rFonts w:ascii="Calibri" w:hAnsi="Calibri" w:cs="Calibri"/>
                <w:color w:val="000000"/>
                <w:sz w:val="22"/>
                <w:szCs w:val="22"/>
              </w:rPr>
              <w:t>Uzasadnienie wysokości kosztów:</w:t>
            </w:r>
          </w:p>
          <w:p w:rsidR="00A15E54" w:rsidRDefault="00000000">
            <w:pPr>
              <w:jc w:val="center"/>
              <w:rPr>
                <w:rFonts w:ascii="Calibri" w:hAnsi="Calibri" w:cs="Calibri"/>
                <w:color w:val="000000"/>
                <w:sz w:val="22"/>
                <w:szCs w:val="22"/>
              </w:rPr>
            </w:pPr>
            <w:r>
              <w:rPr>
                <w:rFonts w:ascii="Calibri" w:hAnsi="Calibri" w:cs="Calibri"/>
                <w:color w:val="000000"/>
                <w:sz w:val="22"/>
                <w:szCs w:val="22"/>
              </w:rPr>
              <w:t>Przedstawiona struktura kosztów wynika ze specyfiki projektu, którego celem nie jest wyłącznie digitalizacja obiektów, lecz wytworzenie, opracowanie, integracja oraz trwałe udostępnienie wysokiej jakości zasobów nauki zgodnie z celami Priorytetu FERC dotyczącego zwiększania dostępności i ponownego wykorzystania zasobów cyfrowych.</w:t>
            </w:r>
          </w:p>
          <w:p w:rsidR="00A15E54" w:rsidRDefault="00000000">
            <w:pPr>
              <w:jc w:val="center"/>
              <w:rPr>
                <w:rFonts w:ascii="Calibri" w:hAnsi="Calibri" w:cs="Calibri"/>
                <w:color w:val="000000"/>
                <w:sz w:val="22"/>
                <w:szCs w:val="22"/>
              </w:rPr>
            </w:pPr>
            <w:r>
              <w:rPr>
                <w:rFonts w:ascii="Calibri" w:hAnsi="Calibri" w:cs="Calibri"/>
                <w:color w:val="000000"/>
                <w:sz w:val="22"/>
                <w:szCs w:val="22"/>
              </w:rPr>
              <w:t xml:space="preserve">Wskaźnik 9 920 obiektów odnosi się wyłącznie do liczby jednostek objętych procesem digitalizacji i nie </w:t>
            </w:r>
            <w:r>
              <w:rPr>
                <w:rFonts w:ascii="Calibri" w:hAnsi="Calibri" w:cs="Calibri"/>
                <w:color w:val="000000"/>
                <w:sz w:val="22"/>
                <w:szCs w:val="22"/>
              </w:rPr>
              <w:lastRenderedPageBreak/>
              <w:t xml:space="preserve">odzwierciedla pełnego zakresu działań niezbędnych do przekształcenia materiałów źródłowych w użyteczne, </w:t>
            </w:r>
            <w:proofErr w:type="spellStart"/>
            <w:r>
              <w:rPr>
                <w:rFonts w:ascii="Calibri" w:hAnsi="Calibri" w:cs="Calibri"/>
                <w:color w:val="000000"/>
                <w:sz w:val="22"/>
                <w:szCs w:val="22"/>
              </w:rPr>
              <w:t>interoperacyjne</w:t>
            </w:r>
            <w:proofErr w:type="spellEnd"/>
            <w:r>
              <w:rPr>
                <w:rFonts w:ascii="Calibri" w:hAnsi="Calibri" w:cs="Calibri"/>
                <w:color w:val="000000"/>
                <w:sz w:val="22"/>
                <w:szCs w:val="22"/>
              </w:rPr>
              <w:t xml:space="preserve"> zasoby nauki. Kluczową wartość projektu stanowi nie tylko samo wykonanie kopii cyfrowych, lecz ich specjalistyczne opracowanie, obejmujące m.in. przygotowanie i standaryzację metadanych, opracowanie naukowe treści, tworzenie powiązań pomiędzy obiektami, zapewnienie spójności informacyjnej zasobów oraz przygotowanie danych do ich dalszego wykorzystania przez środowiska naukowe, edukacyjne i społeczne.</w:t>
            </w:r>
          </w:p>
          <w:p w:rsidR="00A15E54" w:rsidRDefault="00A15E54">
            <w:pPr>
              <w:jc w:val="center"/>
              <w:rPr>
                <w:rFonts w:ascii="Calibri" w:hAnsi="Calibri" w:cs="Calibri"/>
                <w:color w:val="000000"/>
                <w:sz w:val="22"/>
                <w:szCs w:val="22"/>
              </w:rPr>
            </w:pPr>
          </w:p>
          <w:p w:rsidR="00A15E54" w:rsidRDefault="00000000">
            <w:pPr>
              <w:jc w:val="center"/>
              <w:rPr>
                <w:rFonts w:ascii="Calibri" w:hAnsi="Calibri" w:cs="Calibri"/>
                <w:color w:val="000000"/>
                <w:sz w:val="22"/>
                <w:szCs w:val="22"/>
              </w:rPr>
            </w:pPr>
            <w:r>
              <w:rPr>
                <w:rFonts w:ascii="Calibri" w:hAnsi="Calibri" w:cs="Calibri"/>
                <w:color w:val="000000"/>
                <w:sz w:val="22"/>
                <w:szCs w:val="22"/>
              </w:rPr>
              <w:t>Koszty przypisane do komponentów informatycznych obejmują nie tylko wytworzenie oprogramowania, ale przede wszystkim stworzenie środowiska umożliwiającego zarządzanie, integrację, publikację i długoterminowe udostępnianie zasobów nauki zgodnie z wymaganiami interoperacyjności, dostępności cyfrowej oraz otwartości danych. Platforma VOD i moduł korespondencji nie stanowią odrębnych produktów informatycznych, lecz narzędzia służące realizacji zasadniczego celu projektu, jakim jest udostępnienie użytkownikom kompleksowo opracowanych zasobów dziedzictwa i wiedzy.</w:t>
            </w:r>
          </w:p>
          <w:p w:rsidR="00A15E54" w:rsidRDefault="00A15E54">
            <w:pPr>
              <w:jc w:val="center"/>
              <w:rPr>
                <w:rFonts w:ascii="Calibri" w:hAnsi="Calibri" w:cs="Calibri"/>
                <w:color w:val="000000"/>
                <w:sz w:val="22"/>
                <w:szCs w:val="22"/>
              </w:rPr>
            </w:pPr>
          </w:p>
          <w:p w:rsidR="00A15E54" w:rsidRDefault="00000000">
            <w:pPr>
              <w:jc w:val="center"/>
              <w:rPr>
                <w:rFonts w:ascii="Calibri" w:hAnsi="Calibri" w:cs="Calibri"/>
                <w:color w:val="000000"/>
                <w:sz w:val="22"/>
                <w:szCs w:val="22"/>
              </w:rPr>
            </w:pPr>
            <w:r>
              <w:rPr>
                <w:rFonts w:ascii="Calibri" w:hAnsi="Calibri" w:cs="Calibri"/>
                <w:color w:val="000000"/>
                <w:sz w:val="22"/>
                <w:szCs w:val="22"/>
              </w:rPr>
              <w:t>W przypadku zasobów Instytutu Chopina szczególnego znaczenia nabiera konieczność naukowego opracowania materiałów o wysokim stopniu złożoności, obejmujących m.in. rękopisy, korespondencję, dokumenty archiwalne, ikonografię, materiały audiowizualne oraz ich wzajemne relacje. Projekt zakłada stworzenie jednolitego ekosystemu danych, umożliwiającego wyszukiwanie, analizę i ponowne wykorzystanie informacji poprzez powiązanie obiektów z osobami, miejscami, wydarzeniami, utworami oraz kontekstem historycznym i badawczym. Znacząca część wydatków wykazywanych w komponentach technologicznych jest bezpośrednio związana z przygotowaniem i udostępnieniem tych specjalistycznych zasobów wiedzy w opracowaniu wyspecjalizowanego zespołu.</w:t>
            </w:r>
          </w:p>
          <w:p w:rsidR="00A15E54" w:rsidRDefault="00A15E54">
            <w:pPr>
              <w:jc w:val="center"/>
              <w:rPr>
                <w:rFonts w:ascii="Calibri" w:hAnsi="Calibri" w:cs="Calibri"/>
                <w:color w:val="000000"/>
                <w:sz w:val="22"/>
                <w:szCs w:val="22"/>
              </w:rPr>
            </w:pPr>
          </w:p>
          <w:p w:rsidR="00A15E54" w:rsidRDefault="00000000">
            <w:pPr>
              <w:jc w:val="center"/>
              <w:rPr>
                <w:rFonts w:ascii="Calibri" w:hAnsi="Calibri" w:cs="Calibri"/>
                <w:color w:val="000000"/>
                <w:sz w:val="22"/>
                <w:szCs w:val="22"/>
              </w:rPr>
            </w:pPr>
            <w:r>
              <w:rPr>
                <w:rFonts w:ascii="Calibri" w:hAnsi="Calibri" w:cs="Calibri"/>
                <w:color w:val="000000"/>
                <w:sz w:val="22"/>
                <w:szCs w:val="22"/>
              </w:rPr>
              <w:t xml:space="preserve">Koszty zarządzania i wsparcia należy rozpatrywać w kontekście skali i złożoności przedsięwzięcia. Obejmują one koordynację równolegle prowadzonych prac digitalizacyjnych, naukowych i technologicznych, zapewnienie jakości danych i produktów projektu, nadzór nad zgodnością z wymaganiami FERC, standardami dostępności cyfrowej, </w:t>
            </w:r>
            <w:r>
              <w:rPr>
                <w:rFonts w:ascii="Calibri" w:hAnsi="Calibri" w:cs="Calibri"/>
                <w:color w:val="000000"/>
                <w:sz w:val="22"/>
                <w:szCs w:val="22"/>
              </w:rPr>
              <w:lastRenderedPageBreak/>
              <w:t xml:space="preserve">interoperacyjności, oraz zasadami trwałości rezultatów. </w:t>
            </w:r>
          </w:p>
          <w:p w:rsidR="00A15E54" w:rsidRDefault="00A15E54">
            <w:pPr>
              <w:jc w:val="center"/>
              <w:rPr>
                <w:rFonts w:ascii="Calibri" w:hAnsi="Calibri" w:cs="Calibri"/>
                <w:color w:val="000000"/>
                <w:sz w:val="22"/>
                <w:szCs w:val="22"/>
              </w:rPr>
            </w:pPr>
          </w:p>
          <w:p w:rsidR="00A15E54" w:rsidRDefault="00A15E54">
            <w:pPr>
              <w:jc w:val="center"/>
              <w:rPr>
                <w:rFonts w:asciiTheme="minorHAnsi" w:hAnsiTheme="minorHAnsi" w:cstheme="minorHAnsi"/>
                <w:sz w:val="22"/>
                <w:szCs w:val="22"/>
              </w:rPr>
            </w:pPr>
          </w:p>
          <w:p w:rsidR="00A15E54" w:rsidRDefault="00A15E54">
            <w:pPr>
              <w:pStyle w:val="Akapitzlist"/>
              <w:shd w:val="clear" w:color="auto" w:fill="FFFFFF"/>
              <w:ind w:left="0"/>
              <w:rPr>
                <w:rFonts w:ascii="Segoe UI" w:hAnsi="Segoe UI" w:cs="Segoe UI"/>
                <w:color w:val="000000"/>
                <w:sz w:val="21"/>
                <w:szCs w:val="21"/>
              </w:rPr>
            </w:pPr>
          </w:p>
        </w:tc>
      </w:tr>
      <w:tr w:rsidR="00A15E54">
        <w:trPr>
          <w:trHeight w:val="514"/>
        </w:trPr>
        <w:tc>
          <w:tcPr>
            <w:tcW w:w="559" w:type="dxa"/>
          </w:tcPr>
          <w:p w:rsidR="00A15E54" w:rsidRDefault="00000000">
            <w:pPr>
              <w:spacing w:before="120" w:after="120"/>
              <w:jc w:val="center"/>
              <w:rPr>
                <w:rFonts w:asciiTheme="minorHAnsi" w:hAnsiTheme="minorHAnsi" w:cstheme="minorHAnsi"/>
                <w:b/>
                <w:sz w:val="22"/>
                <w:szCs w:val="22"/>
              </w:rPr>
            </w:pPr>
            <w:r>
              <w:rPr>
                <w:rFonts w:asciiTheme="minorHAnsi" w:hAnsiTheme="minorHAnsi" w:cstheme="minorHAnsi"/>
                <w:b/>
                <w:sz w:val="22"/>
                <w:szCs w:val="22"/>
              </w:rPr>
              <w:lastRenderedPageBreak/>
              <w:t>4</w:t>
            </w:r>
          </w:p>
        </w:tc>
        <w:tc>
          <w:tcPr>
            <w:tcW w:w="1704" w:type="dxa"/>
          </w:tcPr>
          <w:p w:rsidR="00A15E54" w:rsidRDefault="00000000">
            <w:pPr>
              <w:spacing w:before="60" w:after="60"/>
              <w:jc w:val="center"/>
              <w:rPr>
                <w:rFonts w:asciiTheme="minorHAnsi" w:hAnsiTheme="minorHAnsi" w:cstheme="minorHAnsi"/>
                <w:b/>
                <w:sz w:val="22"/>
                <w:szCs w:val="22"/>
              </w:rPr>
            </w:pPr>
            <w:r>
              <w:rPr>
                <w:rFonts w:asciiTheme="minorHAnsi" w:hAnsiTheme="minorHAnsi" w:cstheme="minorHAnsi"/>
                <w:b/>
                <w:sz w:val="22"/>
                <w:szCs w:val="22"/>
              </w:rPr>
              <w:t>Ministerstwo Cyfryzacji/DZD</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4.2 „Koszty zarządzania i wsparcia”</w:t>
            </w:r>
          </w:p>
        </w:tc>
        <w:tc>
          <w:tcPr>
            <w:tcW w:w="5953"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Na koszty zarządzania i wsparcia projektu przewidziano kwotę 11 510 248,30 zł brutto. Dokumentacja nie wskazuje zakresu zadań uzasadniającego tak znaczący udział kosztów zarządczych w budżecie przedsięwzięcia. </w:t>
            </w:r>
          </w:p>
          <w:p w:rsidR="00A15E54" w:rsidRDefault="00A15E54">
            <w:pPr>
              <w:jc w:val="center"/>
              <w:rPr>
                <w:rFonts w:asciiTheme="minorHAnsi" w:hAnsiTheme="minorHAnsi" w:cstheme="minorHAnsi"/>
                <w:sz w:val="22"/>
                <w:szCs w:val="22"/>
              </w:rPr>
            </w:pPr>
          </w:p>
        </w:tc>
        <w:tc>
          <w:tcPr>
            <w:tcW w:w="1985"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Sugerujemy o dostosowanie poziomu kosztów zarządzania do rzeczywistych potrzeb projektu oraz przedstawienie budżetu w sposób zapewniający dominujący udział wydatków bezpośrednio związanych z realizacją celów projektu.</w:t>
            </w:r>
          </w:p>
        </w:tc>
        <w:tc>
          <w:tcPr>
            <w:tcW w:w="370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W OZPI ujęto wyjaśnienie dotyczące poziomu kosztów</w:t>
            </w:r>
            <w:r w:rsidR="009C420C">
              <w:rPr>
                <w:rFonts w:asciiTheme="minorHAnsi" w:hAnsiTheme="minorHAnsi" w:cstheme="minorHAnsi"/>
                <w:sz w:val="22"/>
                <w:szCs w:val="22"/>
              </w:rPr>
              <w:t>, zmodyfikowano pkt. 4.2.</w:t>
            </w:r>
          </w:p>
          <w:p w:rsidR="00A15E54" w:rsidRDefault="00A15E54">
            <w:pPr>
              <w:rPr>
                <w:rFonts w:asciiTheme="minorHAnsi" w:hAnsiTheme="minorHAnsi" w:cstheme="minorHAnsi"/>
                <w:sz w:val="22"/>
                <w:szCs w:val="22"/>
              </w:rPr>
            </w:pPr>
          </w:p>
        </w:tc>
      </w:tr>
      <w:tr w:rsidR="00A15E54">
        <w:trPr>
          <w:trHeight w:val="499"/>
        </w:trPr>
        <w:tc>
          <w:tcPr>
            <w:tcW w:w="559" w:type="dxa"/>
          </w:tcPr>
          <w:p w:rsidR="00A15E54" w:rsidRDefault="00000000">
            <w:pPr>
              <w:spacing w:before="120" w:after="120"/>
              <w:jc w:val="center"/>
              <w:rPr>
                <w:rFonts w:asciiTheme="minorHAnsi" w:hAnsiTheme="minorHAnsi" w:cstheme="minorHAnsi"/>
                <w:b/>
                <w:sz w:val="22"/>
                <w:szCs w:val="22"/>
              </w:rPr>
            </w:pPr>
            <w:r>
              <w:rPr>
                <w:rFonts w:asciiTheme="minorHAnsi" w:hAnsiTheme="minorHAnsi" w:cstheme="minorHAnsi"/>
                <w:b/>
                <w:sz w:val="22"/>
                <w:szCs w:val="22"/>
              </w:rPr>
              <w:t>5</w:t>
            </w:r>
          </w:p>
        </w:tc>
        <w:tc>
          <w:tcPr>
            <w:tcW w:w="1704" w:type="dxa"/>
          </w:tcPr>
          <w:p w:rsidR="00A15E54" w:rsidRDefault="00000000">
            <w:pPr>
              <w:spacing w:before="60" w:after="60"/>
              <w:jc w:val="center"/>
              <w:rPr>
                <w:rFonts w:asciiTheme="minorHAnsi" w:hAnsiTheme="minorHAnsi" w:cstheme="minorHAnsi"/>
                <w:b/>
                <w:sz w:val="22"/>
                <w:szCs w:val="22"/>
              </w:rPr>
            </w:pPr>
            <w:r>
              <w:rPr>
                <w:rFonts w:asciiTheme="minorHAnsi" w:hAnsiTheme="minorHAnsi" w:cstheme="minorHAnsi"/>
                <w:b/>
                <w:sz w:val="22"/>
                <w:szCs w:val="22"/>
              </w:rPr>
              <w:t>Ministerstwo Cyfryzacji/DZD</w:t>
            </w:r>
          </w:p>
        </w:tc>
        <w:tc>
          <w:tcPr>
            <w:tcW w:w="1418" w:type="dxa"/>
          </w:tcPr>
          <w:p w:rsidR="00A15E54" w:rsidRDefault="00000000">
            <w:pPr>
              <w:jc w:val="center"/>
              <w:rPr>
                <w:rFonts w:asciiTheme="minorHAnsi" w:hAnsiTheme="minorHAnsi" w:cstheme="minorHAnsi"/>
                <w:sz w:val="22"/>
                <w:szCs w:val="22"/>
              </w:rPr>
            </w:pPr>
            <w:r>
              <w:rPr>
                <w:rFonts w:asciiTheme="minorHAnsi" w:hAnsiTheme="minorHAnsi" w:cstheme="minorHAnsi"/>
                <w:bCs/>
                <w:sz w:val="22"/>
                <w:szCs w:val="22"/>
              </w:rPr>
              <w:t>7.1 lista przepływów</w:t>
            </w:r>
          </w:p>
        </w:tc>
        <w:tc>
          <w:tcPr>
            <w:tcW w:w="5953" w:type="dxa"/>
          </w:tcPr>
          <w:p w:rsidR="00A15E54" w:rsidRDefault="00000000">
            <w:pPr>
              <w:jc w:val="center"/>
              <w:rPr>
                <w:rFonts w:asciiTheme="minorHAnsi" w:hAnsiTheme="minorHAnsi" w:cstheme="minorHAnsi"/>
                <w:sz w:val="22"/>
                <w:szCs w:val="22"/>
              </w:rPr>
            </w:pPr>
            <w:r>
              <w:rPr>
                <w:rFonts w:asciiTheme="minorHAnsi" w:hAnsiTheme="minorHAnsi" w:cstheme="minorHAnsi"/>
                <w:bCs/>
                <w:sz w:val="22"/>
                <w:szCs w:val="22"/>
              </w:rPr>
              <w:t>Czy w ramach projektu w portalu KRONIK@ będą udostępniane tylko pliki prezentacyjne wraz z metadanymi czy również będzie przechowywana kopia zapasowa w repozytorium KRONIK@? (jeśli tak, to proszę o podanie wolumenu w TB)</w:t>
            </w:r>
          </w:p>
        </w:tc>
        <w:tc>
          <w:tcPr>
            <w:tcW w:w="1985" w:type="dxa"/>
          </w:tcPr>
          <w:p w:rsidR="00A15E54" w:rsidRDefault="00000000">
            <w:pPr>
              <w:jc w:val="center"/>
              <w:rPr>
                <w:rFonts w:asciiTheme="minorHAnsi" w:hAnsiTheme="minorHAnsi" w:cstheme="minorHAnsi"/>
                <w:sz w:val="22"/>
                <w:szCs w:val="22"/>
              </w:rPr>
            </w:pPr>
            <w:r>
              <w:rPr>
                <w:rFonts w:asciiTheme="minorHAnsi" w:hAnsiTheme="minorHAnsi" w:cstheme="minorHAnsi"/>
                <w:bCs/>
                <w:sz w:val="22"/>
                <w:szCs w:val="22"/>
              </w:rPr>
              <w:t>Proszę o odpowiedź na pytanie?</w:t>
            </w:r>
          </w:p>
        </w:tc>
        <w:tc>
          <w:tcPr>
            <w:tcW w:w="370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W ramach projektu KRONIK@ planowane jest udostępnienie zarówno metadanych jak i kopii zapasowej. Planowana wielkość wolumenu wynosi 500 TB.</w:t>
            </w:r>
          </w:p>
        </w:tc>
      </w:tr>
      <w:tr w:rsidR="00A15E54">
        <w:trPr>
          <w:trHeight w:val="499"/>
        </w:trPr>
        <w:tc>
          <w:tcPr>
            <w:tcW w:w="559" w:type="dxa"/>
          </w:tcPr>
          <w:p w:rsidR="00A15E54" w:rsidRDefault="00000000">
            <w:pPr>
              <w:spacing w:before="120" w:after="120"/>
              <w:jc w:val="center"/>
              <w:rPr>
                <w:rFonts w:asciiTheme="minorHAnsi" w:hAnsiTheme="minorHAnsi" w:cstheme="minorHAnsi"/>
                <w:b/>
                <w:sz w:val="22"/>
                <w:szCs w:val="22"/>
              </w:rPr>
            </w:pPr>
            <w:r>
              <w:rPr>
                <w:rFonts w:asciiTheme="minorHAnsi" w:hAnsiTheme="minorHAnsi" w:cstheme="minorHAnsi"/>
                <w:b/>
                <w:sz w:val="22"/>
                <w:szCs w:val="22"/>
              </w:rPr>
              <w:t>6.</w:t>
            </w:r>
          </w:p>
        </w:tc>
        <w:tc>
          <w:tcPr>
            <w:tcW w:w="1704" w:type="dxa"/>
          </w:tcPr>
          <w:p w:rsidR="00A15E54" w:rsidRDefault="00000000">
            <w:pPr>
              <w:spacing w:before="60" w:after="60"/>
              <w:jc w:val="center"/>
              <w:rPr>
                <w:rFonts w:asciiTheme="minorHAnsi" w:hAnsiTheme="minorHAnsi" w:cstheme="minorHAnsi"/>
                <w:b/>
                <w:sz w:val="22"/>
                <w:szCs w:val="22"/>
              </w:rPr>
            </w:pPr>
            <w:r>
              <w:rPr>
                <w:rFonts w:asciiTheme="minorHAnsi" w:hAnsiTheme="minorHAnsi" w:cstheme="minorHAnsi"/>
                <w:b/>
                <w:sz w:val="22"/>
                <w:szCs w:val="22"/>
              </w:rPr>
              <w:t>Ministerstwo Cyfryzacji/DZD</w:t>
            </w:r>
          </w:p>
        </w:tc>
        <w:tc>
          <w:tcPr>
            <w:tcW w:w="1418" w:type="dxa"/>
          </w:tcPr>
          <w:p w:rsidR="00A15E54" w:rsidRDefault="00000000">
            <w:pPr>
              <w:jc w:val="center"/>
              <w:rPr>
                <w:rFonts w:asciiTheme="minorHAnsi" w:hAnsiTheme="minorHAnsi" w:cstheme="minorHAnsi"/>
                <w:bCs/>
                <w:sz w:val="22"/>
                <w:szCs w:val="22"/>
              </w:rPr>
            </w:pPr>
            <w:r>
              <w:rPr>
                <w:rFonts w:asciiTheme="minorHAnsi" w:hAnsiTheme="minorHAnsi" w:cstheme="minorHAnsi"/>
                <w:bCs/>
                <w:sz w:val="22"/>
                <w:szCs w:val="22"/>
              </w:rPr>
              <w:t>1.1. Identyfikacja problemu i potrzeb</w:t>
            </w:r>
          </w:p>
        </w:tc>
        <w:tc>
          <w:tcPr>
            <w:tcW w:w="5953" w:type="dxa"/>
          </w:tcPr>
          <w:p w:rsidR="00A15E54" w:rsidRDefault="00000000">
            <w:pPr>
              <w:rPr>
                <w:rFonts w:asciiTheme="minorHAnsi" w:hAnsiTheme="minorHAnsi" w:cstheme="minorHAnsi"/>
                <w:bCs/>
                <w:sz w:val="22"/>
                <w:szCs w:val="22"/>
              </w:rPr>
            </w:pPr>
            <w:r>
              <w:rPr>
                <w:rFonts w:asciiTheme="minorHAnsi" w:hAnsiTheme="minorHAnsi" w:cstheme="minorHAnsi"/>
                <w:bCs/>
                <w:sz w:val="22"/>
                <w:szCs w:val="22"/>
              </w:rPr>
              <w:t>Ośrodki medyczne oraz specjaliści z zakresu psychologii i psychiatrii. Projekt nie zawiera żadnych funkcjonalności dedykowanych tej grupie. Brakuje badań, analiz, konsultacji. Wygląda jak sztuczne rozszerzenie grup docelowych.</w:t>
            </w:r>
          </w:p>
          <w:p w:rsidR="00A15E54" w:rsidRDefault="00A15E54">
            <w:pPr>
              <w:jc w:val="center"/>
              <w:rPr>
                <w:rFonts w:asciiTheme="minorHAnsi" w:hAnsiTheme="minorHAnsi" w:cstheme="minorHAnsi"/>
                <w:bCs/>
                <w:sz w:val="22"/>
                <w:szCs w:val="22"/>
              </w:rPr>
            </w:pPr>
          </w:p>
        </w:tc>
        <w:tc>
          <w:tcPr>
            <w:tcW w:w="1985" w:type="dxa"/>
          </w:tcPr>
          <w:p w:rsidR="00A15E54" w:rsidRDefault="00000000">
            <w:pPr>
              <w:rPr>
                <w:rFonts w:asciiTheme="minorHAnsi" w:hAnsiTheme="minorHAnsi" w:cstheme="minorHAnsi"/>
                <w:bCs/>
                <w:sz w:val="22"/>
                <w:szCs w:val="22"/>
              </w:rPr>
            </w:pPr>
            <w:r>
              <w:rPr>
                <w:rFonts w:asciiTheme="minorHAnsi" w:hAnsiTheme="minorHAnsi" w:cstheme="minorHAnsi"/>
                <w:bCs/>
                <w:sz w:val="22"/>
                <w:szCs w:val="22"/>
              </w:rPr>
              <w:t>Proszę o analizę wskazanych interesariuszy i być może usunięcie tego zapisu</w:t>
            </w:r>
          </w:p>
          <w:p w:rsidR="00A15E54" w:rsidRDefault="00A15E54">
            <w:pPr>
              <w:jc w:val="center"/>
              <w:rPr>
                <w:rFonts w:asciiTheme="minorHAnsi" w:hAnsiTheme="minorHAnsi" w:cstheme="minorHAnsi"/>
                <w:bCs/>
                <w:sz w:val="22"/>
                <w:szCs w:val="22"/>
              </w:rPr>
            </w:pPr>
          </w:p>
        </w:tc>
        <w:tc>
          <w:tcPr>
            <w:tcW w:w="370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Usunięto grupę docelową zgodnie z sugestią</w:t>
            </w:r>
          </w:p>
        </w:tc>
      </w:tr>
      <w:tr w:rsidR="00A15E54">
        <w:trPr>
          <w:trHeight w:val="499"/>
        </w:trPr>
        <w:tc>
          <w:tcPr>
            <w:tcW w:w="559" w:type="dxa"/>
          </w:tcPr>
          <w:p w:rsidR="00A15E54" w:rsidRDefault="00000000">
            <w:pPr>
              <w:spacing w:before="120" w:after="120"/>
              <w:jc w:val="center"/>
              <w:rPr>
                <w:rFonts w:asciiTheme="minorHAnsi" w:hAnsiTheme="minorHAnsi" w:cstheme="minorHAnsi"/>
                <w:b/>
                <w:sz w:val="22"/>
                <w:szCs w:val="22"/>
              </w:rPr>
            </w:pPr>
            <w:r>
              <w:rPr>
                <w:rFonts w:asciiTheme="minorHAnsi" w:hAnsiTheme="minorHAnsi" w:cstheme="minorHAnsi"/>
                <w:b/>
                <w:sz w:val="22"/>
                <w:szCs w:val="22"/>
              </w:rPr>
              <w:t>7.</w:t>
            </w:r>
          </w:p>
        </w:tc>
        <w:tc>
          <w:tcPr>
            <w:tcW w:w="1704" w:type="dxa"/>
          </w:tcPr>
          <w:p w:rsidR="00A15E54" w:rsidRDefault="00000000">
            <w:pPr>
              <w:spacing w:before="60" w:after="60"/>
              <w:jc w:val="center"/>
              <w:rPr>
                <w:rFonts w:asciiTheme="minorHAnsi" w:hAnsiTheme="minorHAnsi" w:cstheme="minorHAnsi"/>
                <w:b/>
                <w:sz w:val="22"/>
                <w:szCs w:val="22"/>
              </w:rPr>
            </w:pPr>
            <w:r>
              <w:rPr>
                <w:rFonts w:asciiTheme="minorHAnsi" w:hAnsiTheme="minorHAnsi" w:cstheme="minorHAnsi"/>
                <w:b/>
                <w:sz w:val="22"/>
                <w:szCs w:val="22"/>
              </w:rPr>
              <w:t>Ministerstwo Cyfryzacji/DZD</w:t>
            </w:r>
          </w:p>
        </w:tc>
        <w:tc>
          <w:tcPr>
            <w:tcW w:w="1418" w:type="dxa"/>
          </w:tcPr>
          <w:p w:rsidR="00A15E54" w:rsidRDefault="00000000">
            <w:pPr>
              <w:jc w:val="center"/>
              <w:rPr>
                <w:rFonts w:asciiTheme="minorHAnsi" w:hAnsiTheme="minorHAnsi" w:cstheme="minorHAnsi"/>
                <w:bCs/>
                <w:sz w:val="22"/>
                <w:szCs w:val="22"/>
              </w:rPr>
            </w:pPr>
            <w:r>
              <w:rPr>
                <w:rFonts w:asciiTheme="minorHAnsi" w:hAnsiTheme="minorHAnsi" w:cstheme="minorHAnsi"/>
                <w:bCs/>
                <w:sz w:val="22"/>
                <w:szCs w:val="22"/>
              </w:rPr>
              <w:t>1.1. Identyfikacja problemu i potrzeb</w:t>
            </w:r>
          </w:p>
        </w:tc>
        <w:tc>
          <w:tcPr>
            <w:tcW w:w="5953" w:type="dxa"/>
          </w:tcPr>
          <w:p w:rsidR="00A15E54" w:rsidRDefault="00000000">
            <w:pPr>
              <w:rPr>
                <w:rFonts w:asciiTheme="minorHAnsi" w:hAnsiTheme="minorHAnsi" w:cstheme="minorHAnsi"/>
                <w:bCs/>
                <w:sz w:val="22"/>
                <w:szCs w:val="22"/>
              </w:rPr>
            </w:pPr>
            <w:r>
              <w:rPr>
                <w:rFonts w:asciiTheme="minorHAnsi" w:hAnsiTheme="minorHAnsi" w:cstheme="minorHAnsi"/>
                <w:bCs/>
                <w:sz w:val="22"/>
                <w:szCs w:val="22"/>
              </w:rPr>
              <w:t>Projekt deklaruje krytyczny zasób cyfrowy, który</w:t>
            </w:r>
          </w:p>
          <w:p w:rsidR="00A15E54" w:rsidRDefault="00000000">
            <w:pPr>
              <w:rPr>
                <w:rFonts w:asciiTheme="minorHAnsi" w:hAnsiTheme="minorHAnsi" w:cstheme="minorHAnsi"/>
                <w:bCs/>
                <w:sz w:val="22"/>
                <w:szCs w:val="22"/>
              </w:rPr>
            </w:pPr>
            <w:r>
              <w:rPr>
                <w:rFonts w:asciiTheme="minorHAnsi" w:hAnsiTheme="minorHAnsi" w:cstheme="minorHAnsi"/>
                <w:bCs/>
                <w:sz w:val="22"/>
                <w:szCs w:val="22"/>
              </w:rPr>
              <w:t xml:space="preserve">może posłużyć do rozwoju algorytmów NLP i trenowania modeli językowych. Jednocześnie nie ma opisu licencji, nie ma polityki otwartych danych, nie ma opisu sposobu udostępnienia danych </w:t>
            </w:r>
            <w:r>
              <w:rPr>
                <w:rFonts w:asciiTheme="minorHAnsi" w:hAnsiTheme="minorHAnsi" w:cstheme="minorHAnsi"/>
                <w:bCs/>
                <w:sz w:val="22"/>
                <w:szCs w:val="22"/>
              </w:rPr>
              <w:lastRenderedPageBreak/>
              <w:t xml:space="preserve">treningowych. Powstaje pytanie czy </w:t>
            </w:r>
            <w:r>
              <w:rPr>
                <w:rFonts w:asciiTheme="minorHAnsi" w:hAnsiTheme="minorHAnsi" w:cstheme="minorHAnsi"/>
                <w:sz w:val="22"/>
                <w:szCs w:val="22"/>
              </w:rPr>
              <w:t>dane faktycznie będą mogły być wykorzystane do trenowania AI?</w:t>
            </w:r>
          </w:p>
          <w:p w:rsidR="00A15E54" w:rsidRDefault="00A15E54">
            <w:pPr>
              <w:jc w:val="center"/>
              <w:rPr>
                <w:rFonts w:asciiTheme="minorHAnsi" w:hAnsiTheme="minorHAnsi" w:cstheme="minorHAnsi"/>
                <w:bCs/>
                <w:sz w:val="22"/>
                <w:szCs w:val="22"/>
              </w:rPr>
            </w:pPr>
          </w:p>
        </w:tc>
        <w:tc>
          <w:tcPr>
            <w:tcW w:w="1985" w:type="dxa"/>
          </w:tcPr>
          <w:p w:rsidR="00A15E54" w:rsidRDefault="00000000">
            <w:pPr>
              <w:jc w:val="center"/>
              <w:rPr>
                <w:rFonts w:asciiTheme="minorHAnsi" w:hAnsiTheme="minorHAnsi" w:cstheme="minorHAnsi"/>
                <w:bCs/>
                <w:sz w:val="22"/>
                <w:szCs w:val="22"/>
              </w:rPr>
            </w:pPr>
            <w:r>
              <w:rPr>
                <w:rFonts w:asciiTheme="minorHAnsi" w:hAnsiTheme="minorHAnsi" w:cstheme="minorHAnsi"/>
                <w:bCs/>
                <w:sz w:val="22"/>
                <w:szCs w:val="22"/>
              </w:rPr>
              <w:lastRenderedPageBreak/>
              <w:t xml:space="preserve">Proszę o rozważenie zasadności </w:t>
            </w:r>
            <w:r>
              <w:rPr>
                <w:rFonts w:asciiTheme="minorHAnsi" w:hAnsiTheme="minorHAnsi" w:cstheme="minorHAnsi"/>
                <w:bCs/>
                <w:sz w:val="22"/>
                <w:szCs w:val="22"/>
              </w:rPr>
              <w:lastRenderedPageBreak/>
              <w:t xml:space="preserve">wpisywania algorytmów NLP </w:t>
            </w:r>
          </w:p>
        </w:tc>
        <w:tc>
          <w:tcPr>
            <w:tcW w:w="3709" w:type="dxa"/>
          </w:tcPr>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lastRenderedPageBreak/>
              <w:t>Uwzględniono i zmodyfikowano zgodnie z uwagą w pkt. 1.1. oraz 2.1.</w:t>
            </w:r>
          </w:p>
          <w:p w:rsidR="00A15E54" w:rsidRDefault="00A15E54">
            <w:pPr>
              <w:jc w:val="center"/>
              <w:rPr>
                <w:rFonts w:asciiTheme="minorHAnsi" w:hAnsiTheme="minorHAnsi" w:cstheme="minorHAnsi"/>
                <w:sz w:val="22"/>
                <w:szCs w:val="22"/>
              </w:rPr>
            </w:pPr>
          </w:p>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lastRenderedPageBreak/>
              <w:t>Projekt przewiduje pełne otwarcie danych wytworzonych w ramach przedsięwzięcia, w tym korpusów tekstowych, metadanych oraz zbiorów danych przygotowanych na potrzeby przetwarzania języka naturalnego. Dane będą udostępniane publicznie i nieodpłatnie za pośrednictwem repozytorium projektu, publicznego interfejsu API oraz pełnych pakietów danych.</w:t>
            </w:r>
          </w:p>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Korespondencja Fryderyka Chopina znajduje się w domenie publicznej. Wytworzone w projekcie dane będą udostępniane na otwartej licencji CC BY 4.0, umożliwiającej ich wykorzystanie również do celów badawczych, edukacyjnych i komercyjnych. Projekt nie przewiduje embarga ani ograniczeń technicznych utrudniających ponowne wykorzystanie danych.</w:t>
            </w:r>
          </w:p>
          <w:p w:rsidR="00A15E54" w:rsidRDefault="00000000">
            <w:pPr>
              <w:jc w:val="center"/>
              <w:rPr>
                <w:rFonts w:asciiTheme="minorHAnsi" w:hAnsiTheme="minorHAnsi" w:cstheme="minorHAnsi"/>
                <w:sz w:val="22"/>
                <w:szCs w:val="22"/>
              </w:rPr>
            </w:pPr>
            <w:r>
              <w:rPr>
                <w:rFonts w:asciiTheme="minorHAnsi" w:hAnsiTheme="minorHAnsi" w:cstheme="minorHAnsi"/>
                <w:sz w:val="22"/>
                <w:szCs w:val="22"/>
              </w:rPr>
              <w:t>Możliwość wykorzystania zasobów do trenowania modeli językowych i rozwoju narzędzi NLP nie jest głównym celem projektu, lecz jednym z potencjalnych kierunków ponownego wykorzystania danych wynikającym z ich otwartego charakteru, wysokiej jakości opracowania oraz zgodności z zasadami FAIR.</w:t>
            </w:r>
          </w:p>
        </w:tc>
      </w:tr>
      <w:tr w:rsidR="00A15E54">
        <w:trPr>
          <w:trHeight w:val="499"/>
        </w:trPr>
        <w:tc>
          <w:tcPr>
            <w:tcW w:w="559" w:type="dxa"/>
          </w:tcPr>
          <w:p w:rsidR="00A15E54" w:rsidRDefault="00000000">
            <w:pPr>
              <w:spacing w:before="120" w:after="120"/>
              <w:jc w:val="center"/>
              <w:rPr>
                <w:rFonts w:asciiTheme="minorHAnsi" w:hAnsiTheme="minorHAnsi" w:cstheme="minorHAnsi"/>
                <w:b/>
                <w:sz w:val="22"/>
                <w:szCs w:val="22"/>
              </w:rPr>
            </w:pPr>
            <w:r>
              <w:rPr>
                <w:rFonts w:asciiTheme="minorHAnsi" w:hAnsiTheme="minorHAnsi" w:cstheme="minorHAnsi"/>
                <w:b/>
                <w:sz w:val="22"/>
                <w:szCs w:val="22"/>
              </w:rPr>
              <w:lastRenderedPageBreak/>
              <w:t>8.</w:t>
            </w:r>
          </w:p>
        </w:tc>
        <w:tc>
          <w:tcPr>
            <w:tcW w:w="1704" w:type="dxa"/>
          </w:tcPr>
          <w:p w:rsidR="00A15E54" w:rsidRDefault="00000000">
            <w:pPr>
              <w:spacing w:before="60" w:after="60"/>
              <w:jc w:val="center"/>
              <w:rPr>
                <w:rFonts w:asciiTheme="minorHAnsi" w:hAnsiTheme="minorHAnsi" w:cstheme="minorHAnsi"/>
                <w:b/>
                <w:sz w:val="22"/>
                <w:szCs w:val="22"/>
              </w:rPr>
            </w:pPr>
            <w:r>
              <w:rPr>
                <w:rFonts w:asciiTheme="minorHAnsi" w:hAnsiTheme="minorHAnsi" w:cstheme="minorHAnsi"/>
                <w:b/>
                <w:sz w:val="22"/>
                <w:szCs w:val="22"/>
              </w:rPr>
              <w:t>Ministerstwo Cyfryzacji/DZD</w:t>
            </w:r>
          </w:p>
        </w:tc>
        <w:tc>
          <w:tcPr>
            <w:tcW w:w="1418" w:type="dxa"/>
          </w:tcPr>
          <w:p w:rsidR="00A15E54" w:rsidRDefault="00000000">
            <w:pPr>
              <w:jc w:val="center"/>
              <w:rPr>
                <w:rFonts w:asciiTheme="minorHAnsi" w:hAnsiTheme="minorHAnsi" w:cstheme="minorHAnsi"/>
                <w:bCs/>
                <w:sz w:val="22"/>
                <w:szCs w:val="22"/>
              </w:rPr>
            </w:pPr>
            <w:r>
              <w:rPr>
                <w:rFonts w:asciiTheme="minorHAnsi" w:hAnsiTheme="minorHAnsi" w:cstheme="minorHAnsi"/>
                <w:bCs/>
                <w:sz w:val="22"/>
                <w:szCs w:val="22"/>
              </w:rPr>
              <w:t>5. GŁÓWNE RYZYKA</w:t>
            </w:r>
          </w:p>
        </w:tc>
        <w:tc>
          <w:tcPr>
            <w:tcW w:w="5953" w:type="dxa"/>
          </w:tcPr>
          <w:p w:rsidR="00A15E54" w:rsidRDefault="00000000">
            <w:pPr>
              <w:rPr>
                <w:rFonts w:asciiTheme="minorHAnsi" w:hAnsiTheme="minorHAnsi" w:cstheme="minorHAnsi"/>
                <w:bCs/>
                <w:sz w:val="22"/>
                <w:szCs w:val="22"/>
              </w:rPr>
            </w:pPr>
            <w:r>
              <w:rPr>
                <w:rFonts w:asciiTheme="minorHAnsi" w:hAnsiTheme="minorHAnsi" w:cstheme="minorHAnsi"/>
                <w:bCs/>
                <w:sz w:val="22"/>
                <w:szCs w:val="22"/>
              </w:rPr>
              <w:t xml:space="preserve">Brakuje kluczowego </w:t>
            </w:r>
            <w:r>
              <w:rPr>
                <w:rFonts w:asciiTheme="minorHAnsi" w:hAnsiTheme="minorHAnsi" w:cstheme="minorHAnsi"/>
                <w:sz w:val="22"/>
                <w:szCs w:val="22"/>
              </w:rPr>
              <w:t>ryzyka praw autorskich</w:t>
            </w:r>
          </w:p>
          <w:p w:rsidR="00A15E54" w:rsidRDefault="00000000">
            <w:pPr>
              <w:rPr>
                <w:rFonts w:asciiTheme="minorHAnsi" w:hAnsiTheme="minorHAnsi" w:cstheme="minorHAnsi"/>
                <w:bCs/>
                <w:sz w:val="22"/>
                <w:szCs w:val="22"/>
              </w:rPr>
            </w:pPr>
            <w:r>
              <w:rPr>
                <w:rFonts w:asciiTheme="minorHAnsi" w:hAnsiTheme="minorHAnsi" w:cstheme="minorHAnsi"/>
                <w:bCs/>
                <w:sz w:val="22"/>
                <w:szCs w:val="22"/>
              </w:rPr>
              <w:t xml:space="preserve">Projekt opiera się na: nagraniach, </w:t>
            </w:r>
            <w:proofErr w:type="spellStart"/>
            <w:r>
              <w:rPr>
                <w:rFonts w:asciiTheme="minorHAnsi" w:hAnsiTheme="minorHAnsi" w:cstheme="minorHAnsi"/>
                <w:bCs/>
                <w:sz w:val="22"/>
                <w:szCs w:val="22"/>
              </w:rPr>
              <w:t>wykonaniach</w:t>
            </w:r>
            <w:proofErr w:type="spellEnd"/>
            <w:r>
              <w:rPr>
                <w:rFonts w:asciiTheme="minorHAnsi" w:hAnsiTheme="minorHAnsi" w:cstheme="minorHAnsi"/>
                <w:bCs/>
                <w:sz w:val="22"/>
                <w:szCs w:val="22"/>
              </w:rPr>
              <w:t xml:space="preserve">, tłumaczeniach, korespondencji. </w:t>
            </w:r>
          </w:p>
          <w:p w:rsidR="00A15E54" w:rsidRDefault="00000000">
            <w:pPr>
              <w:rPr>
                <w:rFonts w:asciiTheme="minorHAnsi" w:hAnsiTheme="minorHAnsi" w:cstheme="minorHAnsi"/>
                <w:bCs/>
                <w:sz w:val="22"/>
                <w:szCs w:val="22"/>
              </w:rPr>
            </w:pPr>
            <w:r>
              <w:rPr>
                <w:rFonts w:asciiTheme="minorHAnsi" w:hAnsiTheme="minorHAnsi" w:cstheme="minorHAnsi"/>
                <w:bCs/>
                <w:sz w:val="22"/>
                <w:szCs w:val="22"/>
              </w:rPr>
              <w:t>Nie ma ryzyka o braku możliwości udostępnienia materiałów z powodu ograniczeń prawnych.</w:t>
            </w:r>
          </w:p>
          <w:p w:rsidR="00A15E54" w:rsidRDefault="00A15E54">
            <w:pPr>
              <w:jc w:val="center"/>
              <w:rPr>
                <w:rFonts w:asciiTheme="minorHAnsi" w:hAnsiTheme="minorHAnsi" w:cstheme="minorHAnsi"/>
                <w:bCs/>
                <w:sz w:val="22"/>
                <w:szCs w:val="22"/>
              </w:rPr>
            </w:pPr>
          </w:p>
        </w:tc>
        <w:tc>
          <w:tcPr>
            <w:tcW w:w="1985" w:type="dxa"/>
          </w:tcPr>
          <w:p w:rsidR="00A15E54" w:rsidRDefault="00A15E54">
            <w:pPr>
              <w:rPr>
                <w:rFonts w:asciiTheme="minorHAnsi" w:hAnsiTheme="minorHAnsi" w:cstheme="minorHAnsi"/>
                <w:sz w:val="22"/>
                <w:szCs w:val="22"/>
              </w:rPr>
            </w:pPr>
          </w:p>
          <w:p w:rsidR="00A15E54" w:rsidRDefault="00A15E54">
            <w:pPr>
              <w:rPr>
                <w:rFonts w:asciiTheme="minorHAnsi" w:hAnsiTheme="minorHAnsi" w:cstheme="minorHAnsi"/>
                <w:bCs/>
                <w:sz w:val="22"/>
                <w:szCs w:val="22"/>
              </w:rPr>
            </w:pPr>
          </w:p>
          <w:p w:rsidR="00A15E54" w:rsidRDefault="00A15E54">
            <w:pPr>
              <w:jc w:val="center"/>
              <w:rPr>
                <w:rFonts w:asciiTheme="minorHAnsi" w:hAnsiTheme="minorHAnsi" w:cstheme="minorHAnsi"/>
                <w:sz w:val="22"/>
                <w:szCs w:val="22"/>
              </w:rPr>
            </w:pPr>
          </w:p>
        </w:tc>
        <w:tc>
          <w:tcPr>
            <w:tcW w:w="3709" w:type="dxa"/>
          </w:tcPr>
          <w:p w:rsidR="00A15E54" w:rsidRPr="009C420C" w:rsidRDefault="00000000" w:rsidP="009C420C">
            <w:pPr>
              <w:jc w:val="center"/>
              <w:rPr>
                <w:rFonts w:asciiTheme="minorHAnsi" w:hAnsiTheme="minorHAnsi" w:cstheme="minorHAnsi"/>
                <w:sz w:val="22"/>
                <w:szCs w:val="22"/>
              </w:rPr>
            </w:pPr>
            <w:r w:rsidRPr="009C420C">
              <w:rPr>
                <w:rFonts w:asciiTheme="minorHAnsi" w:hAnsiTheme="minorHAnsi" w:cstheme="minorHAnsi"/>
                <w:sz w:val="22"/>
                <w:szCs w:val="22"/>
              </w:rPr>
              <w:t>Uwaga uwzględniona – uzupełniono OZPI.</w:t>
            </w:r>
          </w:p>
        </w:tc>
      </w:tr>
    </w:tbl>
    <w:p w:rsidR="00A15E54" w:rsidRDefault="00A15E54">
      <w:pPr>
        <w:jc w:val="center"/>
      </w:pPr>
    </w:p>
    <w:sectPr w:rsidR="00A15E54">
      <w:footerReference w:type="default" r:id="rId11"/>
      <w:pgSz w:w="16838" w:h="11906" w:orient="landscape"/>
      <w:pgMar w:top="720" w:right="720" w:bottom="720" w:left="720"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739F7" w:rsidRDefault="006739F7">
      <w:r>
        <w:separator/>
      </w:r>
    </w:p>
  </w:endnote>
  <w:endnote w:type="continuationSeparator" w:id="0">
    <w:p w:rsidR="006739F7" w:rsidRDefault="00673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pleSystemUIFont">
    <w:altName w:val="Calibri"/>
    <w:panose1 w:val="020B0604020202020204"/>
    <w:charset w:val="0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2958768"/>
      <w:docPartObj>
        <w:docPartGallery w:val="Page Numbers (Bottom of Page)"/>
        <w:docPartUnique/>
      </w:docPartObj>
    </w:sdtPr>
    <w:sdtContent>
      <w:sdt>
        <w:sdtPr>
          <w:id w:val="-1769616900"/>
          <w:docPartObj>
            <w:docPartGallery w:val="Page Numbers (Top of Page)"/>
            <w:docPartUnique/>
          </w:docPartObj>
        </w:sdtPr>
        <w:sdtContent>
          <w:p w:rsidR="00A15E54" w:rsidRDefault="00000000">
            <w:pPr>
              <w:pStyle w:val="Stopka"/>
              <w:jc w:val="right"/>
            </w:pPr>
            <w:r>
              <w:rPr>
                <w:rFonts w:asciiTheme="minorHAnsi" w:hAnsiTheme="minorHAnsi" w:cstheme="minorHAnsi"/>
                <w:sz w:val="22"/>
                <w:szCs w:val="22"/>
              </w:rPr>
              <w:t xml:space="preserve">Strona </w:t>
            </w:r>
            <w:r>
              <w:rPr>
                <w:rFonts w:asciiTheme="minorHAnsi" w:hAnsiTheme="minorHAnsi" w:cstheme="minorHAnsi"/>
                <w:b/>
                <w:bCs/>
                <w:sz w:val="22"/>
                <w:szCs w:val="22"/>
              </w:rPr>
              <w:fldChar w:fldCharType="begin"/>
            </w:r>
            <w:r>
              <w:rPr>
                <w:rFonts w:asciiTheme="minorHAnsi" w:hAnsiTheme="minorHAnsi" w:cstheme="minorHAnsi"/>
                <w:b/>
                <w:bCs/>
                <w:sz w:val="22"/>
                <w:szCs w:val="22"/>
              </w:rPr>
              <w:instrText>PAGE</w:instrText>
            </w:r>
            <w:r>
              <w:rPr>
                <w:rFonts w:asciiTheme="minorHAnsi" w:hAnsiTheme="minorHAnsi" w:cstheme="minorHAnsi"/>
                <w:b/>
                <w:bCs/>
                <w:sz w:val="22"/>
                <w:szCs w:val="22"/>
              </w:rPr>
              <w:fldChar w:fldCharType="separate"/>
            </w:r>
            <w:r>
              <w:rPr>
                <w:rFonts w:asciiTheme="minorHAnsi" w:hAnsiTheme="minorHAnsi" w:cstheme="minorHAnsi"/>
                <w:b/>
                <w:bCs/>
                <w:sz w:val="22"/>
                <w:szCs w:val="22"/>
              </w:rPr>
              <w:t>2</w:t>
            </w:r>
            <w:r>
              <w:rPr>
                <w:rFonts w:asciiTheme="minorHAnsi" w:hAnsiTheme="minorHAnsi" w:cstheme="minorHAnsi"/>
                <w:b/>
                <w:bCs/>
                <w:sz w:val="22"/>
                <w:szCs w:val="22"/>
              </w:rPr>
              <w:fldChar w:fldCharType="end"/>
            </w:r>
            <w:r>
              <w:rPr>
                <w:rFonts w:asciiTheme="minorHAnsi" w:hAnsiTheme="minorHAnsi" w:cstheme="minorHAnsi"/>
                <w:sz w:val="22"/>
                <w:szCs w:val="22"/>
              </w:rPr>
              <w:t xml:space="preserve"> z </w:t>
            </w:r>
            <w:r>
              <w:rPr>
                <w:rFonts w:asciiTheme="minorHAnsi" w:hAnsiTheme="minorHAnsi" w:cstheme="minorHAnsi"/>
                <w:b/>
                <w:bCs/>
                <w:sz w:val="22"/>
                <w:szCs w:val="22"/>
              </w:rPr>
              <w:fldChar w:fldCharType="begin"/>
            </w:r>
            <w:r>
              <w:rPr>
                <w:rFonts w:asciiTheme="minorHAnsi" w:hAnsiTheme="minorHAnsi" w:cstheme="minorHAnsi"/>
                <w:b/>
                <w:bCs/>
                <w:sz w:val="22"/>
                <w:szCs w:val="22"/>
              </w:rPr>
              <w:instrText>NUMPAGES</w:instrText>
            </w:r>
            <w:r>
              <w:rPr>
                <w:rFonts w:asciiTheme="minorHAnsi" w:hAnsiTheme="minorHAnsi" w:cstheme="minorHAnsi"/>
                <w:b/>
                <w:bCs/>
                <w:sz w:val="22"/>
                <w:szCs w:val="22"/>
              </w:rPr>
              <w:fldChar w:fldCharType="separate"/>
            </w:r>
            <w:r>
              <w:rPr>
                <w:rFonts w:asciiTheme="minorHAnsi" w:hAnsiTheme="minorHAnsi" w:cstheme="minorHAnsi"/>
                <w:b/>
                <w:bCs/>
                <w:sz w:val="22"/>
                <w:szCs w:val="22"/>
              </w:rPr>
              <w:t>2</w:t>
            </w:r>
            <w:r>
              <w:rPr>
                <w:rFonts w:asciiTheme="minorHAnsi" w:hAnsiTheme="minorHAnsi" w:cstheme="minorHAnsi"/>
                <w:b/>
                <w:bCs/>
                <w:sz w:val="22"/>
                <w:szCs w:val="22"/>
              </w:rPr>
              <w:fldChar w:fldCharType="end"/>
            </w:r>
          </w:p>
        </w:sdtContent>
      </w:sdt>
    </w:sdtContent>
  </w:sdt>
  <w:p w:rsidR="00A15E54" w:rsidRDefault="00A15E5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739F7" w:rsidRDefault="006739F7">
      <w:r>
        <w:separator/>
      </w:r>
    </w:p>
  </w:footnote>
  <w:footnote w:type="continuationSeparator" w:id="0">
    <w:p w:rsidR="006739F7" w:rsidRDefault="006739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06FA2"/>
    <w:multiLevelType w:val="multilevel"/>
    <w:tmpl w:val="A146962C"/>
    <w:lvl w:ilvl="0">
      <w:start w:val="1"/>
      <w:numFmt w:val="decimal"/>
      <w:lvlText w:val="%1."/>
      <w:lvlJc w:val="right"/>
      <w:pPr>
        <w:ind w:left="709" w:hanging="360"/>
      </w:pPr>
    </w:lvl>
    <w:lvl w:ilvl="1">
      <w:start w:val="1"/>
      <w:numFmt w:val="decimal"/>
      <w:lvlText w:val="%2."/>
      <w:lvlJc w:val="right"/>
      <w:pPr>
        <w:ind w:left="1429" w:hanging="360"/>
      </w:pPr>
    </w:lvl>
    <w:lvl w:ilvl="2">
      <w:start w:val="1"/>
      <w:numFmt w:val="decimal"/>
      <w:lvlText w:val="%3."/>
      <w:lvlJc w:val="right"/>
      <w:pPr>
        <w:ind w:left="2149" w:hanging="360"/>
      </w:pPr>
    </w:lvl>
    <w:lvl w:ilvl="3">
      <w:start w:val="1"/>
      <w:numFmt w:val="decimal"/>
      <w:lvlText w:val="%4."/>
      <w:lvlJc w:val="right"/>
      <w:pPr>
        <w:ind w:left="2869" w:hanging="360"/>
      </w:pPr>
    </w:lvl>
    <w:lvl w:ilvl="4">
      <w:start w:val="1"/>
      <w:numFmt w:val="decimal"/>
      <w:lvlText w:val="%5."/>
      <w:lvlJc w:val="right"/>
      <w:pPr>
        <w:ind w:left="3589" w:hanging="360"/>
      </w:pPr>
    </w:lvl>
    <w:lvl w:ilvl="5">
      <w:start w:val="1"/>
      <w:numFmt w:val="decimal"/>
      <w:lvlText w:val="%6."/>
      <w:lvlJc w:val="right"/>
      <w:pPr>
        <w:ind w:left="4309" w:hanging="360"/>
      </w:pPr>
    </w:lvl>
    <w:lvl w:ilvl="6">
      <w:start w:val="1"/>
      <w:numFmt w:val="decimal"/>
      <w:lvlText w:val="%7."/>
      <w:lvlJc w:val="right"/>
      <w:pPr>
        <w:ind w:left="5029" w:hanging="360"/>
      </w:pPr>
    </w:lvl>
    <w:lvl w:ilvl="7">
      <w:start w:val="1"/>
      <w:numFmt w:val="decimal"/>
      <w:lvlText w:val="%8."/>
      <w:lvlJc w:val="right"/>
      <w:pPr>
        <w:ind w:left="5749" w:hanging="360"/>
      </w:pPr>
    </w:lvl>
    <w:lvl w:ilvl="8">
      <w:start w:val="1"/>
      <w:numFmt w:val="decimal"/>
      <w:lvlText w:val="%9."/>
      <w:lvlJc w:val="right"/>
      <w:pPr>
        <w:ind w:left="6469" w:hanging="360"/>
      </w:pPr>
    </w:lvl>
  </w:abstractNum>
  <w:abstractNum w:abstractNumId="1" w15:restartNumberingAfterBreak="0">
    <w:nsid w:val="105A7F4F"/>
    <w:multiLevelType w:val="multilevel"/>
    <w:tmpl w:val="EA64BA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83D53"/>
    <w:multiLevelType w:val="multilevel"/>
    <w:tmpl w:val="867A96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4C92A06"/>
    <w:multiLevelType w:val="multilevel"/>
    <w:tmpl w:val="02C21AD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9AF16F2"/>
    <w:multiLevelType w:val="multilevel"/>
    <w:tmpl w:val="A7FE57C0"/>
    <w:lvl w:ilvl="0">
      <w:start w:val="1"/>
      <w:numFmt w:val="bullet"/>
      <w:lvlText w:val=""/>
      <w:lvlJc w:val="left"/>
      <w:pPr>
        <w:ind w:left="1068" w:hanging="360"/>
      </w:pPr>
      <w:rPr>
        <w:rFonts w:ascii="Wingdings" w:hAnsi="Wingdings" w:hint="default"/>
      </w:rPr>
    </w:lvl>
    <w:lvl w:ilvl="1">
      <w:start w:val="1"/>
      <w:numFmt w:val="bullet"/>
      <w:lvlText w:val=""/>
      <w:lvlJc w:val="left"/>
      <w:pPr>
        <w:ind w:left="1428" w:hanging="360"/>
      </w:pPr>
      <w:rPr>
        <w:rFonts w:ascii="Symbol" w:hAnsi="Symbol" w:hint="default"/>
      </w:rPr>
    </w:lvl>
    <w:lvl w:ilvl="2">
      <w:start w:val="1"/>
      <w:numFmt w:val="bullet"/>
      <w:lvlText w:val=""/>
      <w:lvlJc w:val="left"/>
      <w:pPr>
        <w:ind w:left="2688" w:hanging="360"/>
      </w:pPr>
      <w:rPr>
        <w:rFonts w:ascii="Wingdings" w:hAnsi="Wingdings" w:hint="default"/>
      </w:r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 w15:restartNumberingAfterBreak="0">
    <w:nsid w:val="1A81764C"/>
    <w:multiLevelType w:val="multilevel"/>
    <w:tmpl w:val="50289BA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DC08F4E"/>
    <w:multiLevelType w:val="multilevel"/>
    <w:tmpl w:val="3CD89CB6"/>
    <w:lvl w:ilvl="0">
      <w:start w:val="1"/>
      <w:numFmt w:val="bullet"/>
      <w:lvlText w:val="•"/>
      <w:lvlJc w:val="left"/>
      <w:pPr>
        <w:ind w:left="0" w:firstLine="0"/>
      </w:pPr>
    </w:lvl>
    <w:lvl w:ilvl="1">
      <w:start w:val="1"/>
      <w:numFmt w:val="bullet"/>
      <w:lvlText w:val="o"/>
      <w:lvlJc w:val="left"/>
      <w:pPr>
        <w:ind w:left="720" w:hanging="360"/>
      </w:pPr>
      <w:rPr>
        <w:rFonts w:ascii="Courier New" w:hAnsi="Courier New" w:cs="Courier New" w:hint="default"/>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238F4F87"/>
    <w:multiLevelType w:val="multilevel"/>
    <w:tmpl w:val="3E0EF0E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4DD4DBE"/>
    <w:multiLevelType w:val="multilevel"/>
    <w:tmpl w:val="C4569F92"/>
    <w:lvl w:ilvl="0">
      <w:start w:val="1"/>
      <w:numFmt w:val="bullet"/>
      <w:lvlText w:val=""/>
      <w:lvlJc w:val="left"/>
      <w:pPr>
        <w:ind w:left="360" w:hanging="360"/>
      </w:pPr>
      <w:rPr>
        <w:rFonts w:ascii="Symbol" w:hAnsi="Symbol" w:hint="default"/>
      </w:rPr>
    </w:lvl>
    <w:lvl w:ilvl="1">
      <w:numFmt w:val="bullet"/>
      <w:lvlText w:val="•"/>
      <w:lvlJc w:val="left"/>
      <w:pPr>
        <w:ind w:left="1428" w:hanging="708"/>
      </w:pPr>
      <w:rPr>
        <w:rFonts w:ascii="Calibri" w:eastAsia="Times New Roman"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94128EC"/>
    <w:multiLevelType w:val="multilevel"/>
    <w:tmpl w:val="DC94C94E"/>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3B184990"/>
    <w:multiLevelType w:val="multilevel"/>
    <w:tmpl w:val="2C844D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4701E7B"/>
    <w:multiLevelType w:val="multilevel"/>
    <w:tmpl w:val="92AC7548"/>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Symbol" w:hAnsi="Symbol" w:hint="default"/>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557A6381"/>
    <w:multiLevelType w:val="multilevel"/>
    <w:tmpl w:val="C2B2B85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A8B48B0"/>
    <w:multiLevelType w:val="multilevel"/>
    <w:tmpl w:val="5FF2279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76F4ED4"/>
    <w:multiLevelType w:val="multilevel"/>
    <w:tmpl w:val="A286930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6A784DF0"/>
    <w:multiLevelType w:val="multilevel"/>
    <w:tmpl w:val="D9ECBD2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ECE1ECC"/>
    <w:multiLevelType w:val="multilevel"/>
    <w:tmpl w:val="B1A6D09A"/>
    <w:lvl w:ilvl="0">
      <w:start w:val="1"/>
      <w:numFmt w:val="decimal"/>
      <w:lvlText w:val="%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1907D88"/>
    <w:multiLevelType w:val="multilevel"/>
    <w:tmpl w:val="36A24ED6"/>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7DA85E1C"/>
    <w:multiLevelType w:val="multilevel"/>
    <w:tmpl w:val="69F2D8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DE87CA0"/>
    <w:multiLevelType w:val="multilevel"/>
    <w:tmpl w:val="B30EBB9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7F0D74D0"/>
    <w:multiLevelType w:val="multilevel"/>
    <w:tmpl w:val="B9185408"/>
    <w:lvl w:ilvl="0">
      <w:start w:val="1"/>
      <w:numFmt w:val="decimal"/>
      <w:lvlText w:val="%1."/>
      <w:lvlJc w:val="left"/>
      <w:pPr>
        <w:ind w:left="360" w:hanging="360"/>
      </w:pPr>
    </w:lvl>
    <w:lvl w:ilvl="1">
      <w:start w:val="1"/>
      <w:numFmt w:val="bullet"/>
      <w:lvlText w:val=""/>
      <w:lvlJc w:val="left"/>
      <w:pPr>
        <w:ind w:left="1080" w:hanging="360"/>
      </w:pPr>
      <w:rPr>
        <w:rFonts w:ascii="Symbol" w:hAnsi="Symbol" w:hint="default"/>
      </w:rPr>
    </w:lvl>
    <w:lvl w:ilvl="2">
      <w:start w:val="1"/>
      <w:numFmt w:val="bullet"/>
      <w:lvlText w:val="o"/>
      <w:lvlJc w:val="left"/>
      <w:pPr>
        <w:ind w:left="1980" w:hanging="360"/>
      </w:pPr>
      <w:rPr>
        <w:rFonts w:ascii="Courier New" w:hAnsi="Courier New" w:cs="Courier New"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40717830">
    <w:abstractNumId w:val="16"/>
  </w:num>
  <w:num w:numId="2" w16cid:durableId="104354470">
    <w:abstractNumId w:val="17"/>
  </w:num>
  <w:num w:numId="3" w16cid:durableId="82606433">
    <w:abstractNumId w:val="11"/>
  </w:num>
  <w:num w:numId="4" w16cid:durableId="1113792315">
    <w:abstractNumId w:val="20"/>
  </w:num>
  <w:num w:numId="5" w16cid:durableId="1127236559">
    <w:abstractNumId w:val="13"/>
  </w:num>
  <w:num w:numId="6" w16cid:durableId="1984043750">
    <w:abstractNumId w:val="5"/>
  </w:num>
  <w:num w:numId="7" w16cid:durableId="2095779651">
    <w:abstractNumId w:val="8"/>
  </w:num>
  <w:num w:numId="8" w16cid:durableId="1901285231">
    <w:abstractNumId w:val="19"/>
  </w:num>
  <w:num w:numId="9" w16cid:durableId="1895777454">
    <w:abstractNumId w:val="2"/>
  </w:num>
  <w:num w:numId="10" w16cid:durableId="294289030">
    <w:abstractNumId w:val="3"/>
  </w:num>
  <w:num w:numId="11" w16cid:durableId="1664505578">
    <w:abstractNumId w:val="14"/>
  </w:num>
  <w:num w:numId="12" w16cid:durableId="1793329143">
    <w:abstractNumId w:val="12"/>
  </w:num>
  <w:num w:numId="13" w16cid:durableId="1352680696">
    <w:abstractNumId w:val="4"/>
  </w:num>
  <w:num w:numId="14" w16cid:durableId="1740513446">
    <w:abstractNumId w:val="7"/>
  </w:num>
  <w:num w:numId="15" w16cid:durableId="851723328">
    <w:abstractNumId w:val="15"/>
  </w:num>
  <w:num w:numId="16" w16cid:durableId="577977708">
    <w:abstractNumId w:val="1"/>
  </w:num>
  <w:num w:numId="17" w16cid:durableId="1314990120">
    <w:abstractNumId w:val="6"/>
  </w:num>
  <w:num w:numId="18" w16cid:durableId="1208881405">
    <w:abstractNumId w:val="9"/>
  </w:num>
  <w:num w:numId="19" w16cid:durableId="1586107080">
    <w:abstractNumId w:val="18"/>
  </w:num>
  <w:num w:numId="20" w16cid:durableId="1387342448">
    <w:abstractNumId w:val="10"/>
  </w:num>
  <w:num w:numId="21" w16cid:durableId="974027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E54"/>
    <w:rsid w:val="00276DD5"/>
    <w:rsid w:val="006739F7"/>
    <w:rsid w:val="00955BDE"/>
    <w:rsid w:val="009C420C"/>
    <w:rsid w:val="00A15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EBD96"/>
  <w15:docId w15:val="{CC3CB7AD-D278-264C-808C-9F5814AC9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link w:val="Nagwek1Znak"/>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Nagwek2">
    <w:name w:val="heading 2"/>
    <w:basedOn w:val="Normalny"/>
    <w:next w:val="Normalny"/>
    <w:link w:val="Nagwek2Znak"/>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Nagwek3">
    <w:name w:val="heading 3"/>
    <w:basedOn w:val="Normalny"/>
    <w:next w:val="Normalny"/>
    <w:link w:val="Nagwek3Znak"/>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Nagwek4">
    <w:name w:val="heading 4"/>
    <w:basedOn w:val="Normalny"/>
    <w:next w:val="Normalny"/>
    <w:link w:val="Nagwek4Znak"/>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Nagwek5">
    <w:name w:val="heading 5"/>
    <w:basedOn w:val="Normalny"/>
    <w:next w:val="Normalny"/>
    <w:link w:val="Nagwek5Znak"/>
    <w:uiPriority w:val="9"/>
    <w:unhideWhenUsed/>
    <w:qFormat/>
    <w:pPr>
      <w:keepNext/>
      <w:keepLines/>
      <w:spacing w:before="80" w:after="40"/>
      <w:outlineLvl w:val="4"/>
    </w:pPr>
    <w:rPr>
      <w:rFonts w:ascii="Arial" w:eastAsia="Arial" w:hAnsi="Arial" w:cs="Arial"/>
      <w:color w:val="2E74B5" w:themeColor="accent1" w:themeShade="BF"/>
    </w:rPr>
  </w:style>
  <w:style w:type="paragraph" w:styleId="Nagwek6">
    <w:name w:val="heading 6"/>
    <w:basedOn w:val="Normalny"/>
    <w:next w:val="Normalny"/>
    <w:link w:val="Nagwek6Znak"/>
    <w:uiPriority w:val="9"/>
    <w:unhideWhenUsed/>
    <w:qFormat/>
    <w:pPr>
      <w:keepNext/>
      <w:keepLines/>
      <w:spacing w:before="40"/>
      <w:outlineLvl w:val="5"/>
    </w:pPr>
    <w:rPr>
      <w:rFonts w:ascii="Arial" w:eastAsia="Arial" w:hAnsi="Arial" w:cs="Arial"/>
      <w:i/>
      <w:iCs/>
      <w:color w:val="595959" w:themeColor="text1" w:themeTint="A6"/>
    </w:rPr>
  </w:style>
  <w:style w:type="paragraph" w:styleId="Nagwek7">
    <w:name w:val="heading 7"/>
    <w:basedOn w:val="Normalny"/>
    <w:next w:val="Normalny"/>
    <w:link w:val="Nagwek7Znak"/>
    <w:uiPriority w:val="9"/>
    <w:unhideWhenUsed/>
    <w:qFormat/>
    <w:pPr>
      <w:keepNext/>
      <w:keepLines/>
      <w:spacing w:before="40"/>
      <w:outlineLvl w:val="6"/>
    </w:pPr>
    <w:rPr>
      <w:rFonts w:ascii="Arial" w:eastAsia="Arial" w:hAnsi="Arial" w:cs="Arial"/>
      <w:color w:val="595959" w:themeColor="text1" w:themeTint="A6"/>
    </w:rPr>
  </w:style>
  <w:style w:type="paragraph" w:styleId="Nagwek8">
    <w:name w:val="heading 8"/>
    <w:basedOn w:val="Normalny"/>
    <w:next w:val="Normalny"/>
    <w:link w:val="Nagwek8Znak"/>
    <w:uiPriority w:val="9"/>
    <w:unhideWhenUsed/>
    <w:qFormat/>
    <w:pPr>
      <w:keepNext/>
      <w:keepLines/>
      <w:outlineLvl w:val="7"/>
    </w:pPr>
    <w:rPr>
      <w:rFonts w:ascii="Arial" w:eastAsia="Arial" w:hAnsi="Arial" w:cs="Arial"/>
      <w:i/>
      <w:iCs/>
      <w:color w:val="272727" w:themeColor="text1" w:themeTint="D8"/>
    </w:rPr>
  </w:style>
  <w:style w:type="paragraph" w:styleId="Nagwek9">
    <w:name w:val="heading 9"/>
    <w:basedOn w:val="Normalny"/>
    <w:next w:val="Normalny"/>
    <w:link w:val="Nagwek9Znak"/>
    <w:uiPriority w:val="9"/>
    <w:unhideWhenUsed/>
    <w:qFormat/>
    <w:pPr>
      <w:keepNext/>
      <w:keepLines/>
      <w:outlineLvl w:val="8"/>
    </w:pPr>
    <w:rPr>
      <w:rFonts w:ascii="Arial" w:eastAsia="Arial" w:hAnsi="Arial" w:cs="Arial"/>
      <w:i/>
      <w:iCs/>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Light">
    <w:name w:val="Table Grid Light"/>
    <w:basedOn w:val="Standardowy"/>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Zwykatabela1">
    <w:name w:val="Plain Table 1"/>
    <w:basedOn w:val="Standardowy"/>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Zwykatabela2">
    <w:name w:val="Plain Table 2"/>
    <w:basedOn w:val="Standardowy"/>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Zwykatabela3">
    <w:name w:val="Plain Table 3"/>
    <w:basedOn w:val="Standardowy"/>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4">
    <w:name w:val="Plain Table 4"/>
    <w:basedOn w:val="Standardowy"/>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Zwykatabela5">
    <w:name w:val="Plain Table 5"/>
    <w:basedOn w:val="Standardowy"/>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atki1jasna">
    <w:name w:val="Grid Table 1 Light"/>
    <w:basedOn w:val="Standardowy"/>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Standardowy"/>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Standardowy"/>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Standardowy"/>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Standardowy"/>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Standardowy"/>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siatki2">
    <w:name w:val="Grid Table 2"/>
    <w:basedOn w:val="Standardowy"/>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Standardowy"/>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Standardowy"/>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Standardowy"/>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Standardowy"/>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Standardowy"/>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Standardowy"/>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3">
    <w:name w:val="Grid Table 3"/>
    <w:basedOn w:val="Standardowy"/>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Standardowy"/>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Standardowy"/>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Standardowy"/>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Standardowy"/>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Standardowy"/>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Standardowy"/>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4">
    <w:name w:val="Grid Table 4"/>
    <w:basedOn w:val="Standardowy"/>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Standardowy"/>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Standardowy"/>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Standardowy"/>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Standardowy"/>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Standardowy"/>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Standardowy"/>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siatki5ciemna">
    <w:name w:val="Grid Table 5 Dark"/>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siatki6kolorowa">
    <w:name w:val="Grid Table 6 Colorful"/>
    <w:basedOn w:val="Standardowy"/>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Standardowy"/>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Standardowy"/>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Standardowy"/>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Standardowy"/>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Standardowy"/>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elasiatki7kolorowa">
    <w:name w:val="Grid Table 7 Colorful"/>
    <w:basedOn w:val="Standardowy"/>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Standardowy"/>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Standardowy"/>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Standardowy"/>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Standardowy"/>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Standardowy"/>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listy1jasna">
    <w:name w:val="List Table 1 Light"/>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y2">
    <w:name w:val="List Table 2"/>
    <w:basedOn w:val="Standardowy"/>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Standardowy"/>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Standardowy"/>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Standardowy"/>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Standardowy"/>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Standardowy"/>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Standardowy"/>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3">
    <w:name w:val="List Table 3"/>
    <w:basedOn w:val="Standardowy"/>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Standardowy"/>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Standardowy"/>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Standardowy"/>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Standardowy"/>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Standardowy"/>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y4">
    <w:name w:val="List Table 4"/>
    <w:basedOn w:val="Standardowy"/>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Standardowy"/>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Standardowy"/>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Standardowy"/>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Standardowy"/>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Standardowy"/>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Standardowy"/>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y5ciemna">
    <w:name w:val="List Table 5 Dark"/>
    <w:basedOn w:val="Standardowy"/>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Standardowy"/>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Standardowy"/>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Standardowy"/>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Standardowy"/>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Standardowy"/>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Standardowy"/>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listy6kolorowa">
    <w:name w:val="List Table 6 Colorful"/>
    <w:basedOn w:val="Standardowy"/>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Standardowy"/>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Standardowy"/>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Standardowy"/>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Standardowy"/>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Standardowy"/>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listy7kolorowa">
    <w:name w:val="List Table 7 Colorful"/>
    <w:basedOn w:val="Standardowy"/>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Standardowy"/>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Standardowy"/>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Standardowy"/>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Standardowy"/>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Standardowy"/>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Standardowy"/>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Standardowy"/>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Standardowy"/>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Standardowy"/>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Standardowy"/>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Standardowy"/>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Standardowy"/>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Standardowy"/>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Standardowy"/>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Standardowy"/>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Standardowy"/>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Standardowy"/>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Standardowy"/>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Standardowy"/>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Standardowy"/>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Standardowy"/>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Standardowy"/>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Standardowy"/>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Standardowy"/>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Standardowy"/>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Standardowy"/>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gwek1Znak">
    <w:name w:val="Nagłówek 1 Znak"/>
    <w:basedOn w:val="Domylnaczcionkaakapitu"/>
    <w:link w:val="Nagwek1"/>
    <w:uiPriority w:val="9"/>
    <w:rPr>
      <w:rFonts w:ascii="Arial" w:eastAsia="Arial" w:hAnsi="Arial" w:cs="Arial"/>
      <w:color w:val="2E74B5" w:themeColor="accent1" w:themeShade="BF"/>
      <w:sz w:val="40"/>
      <w:szCs w:val="40"/>
    </w:rPr>
  </w:style>
  <w:style w:type="character" w:customStyle="1" w:styleId="Nagwek2Znak">
    <w:name w:val="Nagłówek 2 Znak"/>
    <w:basedOn w:val="Domylnaczcionkaakapitu"/>
    <w:link w:val="Nagwek2"/>
    <w:uiPriority w:val="9"/>
    <w:rPr>
      <w:rFonts w:ascii="Arial" w:eastAsia="Arial" w:hAnsi="Arial" w:cs="Arial"/>
      <w:color w:val="2E74B5" w:themeColor="accent1" w:themeShade="BF"/>
      <w:sz w:val="32"/>
      <w:szCs w:val="32"/>
    </w:rPr>
  </w:style>
  <w:style w:type="character" w:customStyle="1" w:styleId="Nagwek3Znak">
    <w:name w:val="Nagłówek 3 Znak"/>
    <w:basedOn w:val="Domylnaczcionkaakapitu"/>
    <w:link w:val="Nagwek3"/>
    <w:uiPriority w:val="9"/>
    <w:rPr>
      <w:rFonts w:ascii="Arial" w:eastAsia="Arial" w:hAnsi="Arial" w:cs="Arial"/>
      <w:color w:val="2E74B5" w:themeColor="accent1" w:themeShade="BF"/>
      <w:sz w:val="28"/>
      <w:szCs w:val="28"/>
    </w:rPr>
  </w:style>
  <w:style w:type="character" w:customStyle="1" w:styleId="Nagwek4Znak">
    <w:name w:val="Nagłówek 4 Znak"/>
    <w:basedOn w:val="Domylnaczcionkaakapitu"/>
    <w:link w:val="Nagwek4"/>
    <w:uiPriority w:val="9"/>
    <w:rPr>
      <w:rFonts w:ascii="Arial" w:eastAsia="Arial" w:hAnsi="Arial" w:cs="Arial"/>
      <w:i/>
      <w:iCs/>
      <w:color w:val="2E74B5" w:themeColor="accent1" w:themeShade="BF"/>
    </w:rPr>
  </w:style>
  <w:style w:type="character" w:customStyle="1" w:styleId="Nagwek5Znak">
    <w:name w:val="Nagłówek 5 Znak"/>
    <w:basedOn w:val="Domylnaczcionkaakapitu"/>
    <w:link w:val="Nagwek5"/>
    <w:uiPriority w:val="9"/>
    <w:rPr>
      <w:rFonts w:ascii="Arial" w:eastAsia="Arial" w:hAnsi="Arial" w:cs="Arial"/>
      <w:color w:val="2E74B5" w:themeColor="accent1" w:themeShade="BF"/>
    </w:rPr>
  </w:style>
  <w:style w:type="character" w:customStyle="1" w:styleId="Nagwek6Znak">
    <w:name w:val="Nagłówek 6 Znak"/>
    <w:basedOn w:val="Domylnaczcionkaakapitu"/>
    <w:link w:val="Nagwek6"/>
    <w:uiPriority w:val="9"/>
    <w:rPr>
      <w:rFonts w:ascii="Arial" w:eastAsia="Arial" w:hAnsi="Arial" w:cs="Arial"/>
      <w:i/>
      <w:iCs/>
      <w:color w:val="595959" w:themeColor="text1" w:themeTint="A6"/>
    </w:rPr>
  </w:style>
  <w:style w:type="character" w:customStyle="1" w:styleId="Nagwek7Znak">
    <w:name w:val="Nagłówek 7 Znak"/>
    <w:basedOn w:val="Domylnaczcionkaakapitu"/>
    <w:link w:val="Nagwek7"/>
    <w:uiPriority w:val="9"/>
    <w:rPr>
      <w:rFonts w:ascii="Arial" w:eastAsia="Arial" w:hAnsi="Arial" w:cs="Arial"/>
      <w:color w:val="595959" w:themeColor="text1" w:themeTint="A6"/>
    </w:rPr>
  </w:style>
  <w:style w:type="character" w:customStyle="1" w:styleId="Nagwek8Znak">
    <w:name w:val="Nagłówek 8 Znak"/>
    <w:basedOn w:val="Domylnaczcionkaakapitu"/>
    <w:link w:val="Nagwek8"/>
    <w:uiPriority w:val="9"/>
    <w:rPr>
      <w:rFonts w:ascii="Arial" w:eastAsia="Arial" w:hAnsi="Arial" w:cs="Arial"/>
      <w:i/>
      <w:iCs/>
      <w:color w:val="272727" w:themeColor="text1" w:themeTint="D8"/>
    </w:rPr>
  </w:style>
  <w:style w:type="character" w:customStyle="1" w:styleId="Nagwek9Znak">
    <w:name w:val="Nagłówek 9 Znak"/>
    <w:basedOn w:val="Domylnaczcionkaakapitu"/>
    <w:link w:val="Nagwek9"/>
    <w:uiPriority w:val="9"/>
    <w:rPr>
      <w:rFonts w:ascii="Arial" w:eastAsia="Arial" w:hAnsi="Arial" w:cs="Arial"/>
      <w:i/>
      <w:iCs/>
      <w:color w:val="272727" w:themeColor="text1" w:themeTint="D8"/>
    </w:rPr>
  </w:style>
  <w:style w:type="paragraph" w:styleId="Tytu">
    <w:name w:val="Title"/>
    <w:basedOn w:val="Normalny"/>
    <w:next w:val="Normalny"/>
    <w:link w:val="TytuZnak"/>
    <w:uiPriority w:val="10"/>
    <w:qFormat/>
    <w:pPr>
      <w:spacing w:after="80"/>
      <w:contextualSpacing/>
    </w:pPr>
    <w:rPr>
      <w:rFonts w:ascii="Arial" w:eastAsia="Arial" w:hAnsi="Arial" w:cs="Arial"/>
      <w:spacing w:val="-10"/>
      <w:sz w:val="56"/>
      <w:szCs w:val="56"/>
    </w:rPr>
  </w:style>
  <w:style w:type="character" w:customStyle="1" w:styleId="TytuZnak">
    <w:name w:val="Tytuł Znak"/>
    <w:basedOn w:val="Domylnaczcionkaakapitu"/>
    <w:link w:val="Tytu"/>
    <w:uiPriority w:val="10"/>
    <w:rPr>
      <w:rFonts w:ascii="Arial" w:eastAsia="Arial" w:hAnsi="Arial" w:cs="Arial"/>
      <w:spacing w:val="-10"/>
      <w:sz w:val="56"/>
      <w:szCs w:val="56"/>
    </w:rPr>
  </w:style>
  <w:style w:type="paragraph" w:styleId="Podtytu">
    <w:name w:val="Subtitle"/>
    <w:basedOn w:val="Normalny"/>
    <w:next w:val="Normalny"/>
    <w:link w:val="PodtytuZnak"/>
    <w:uiPriority w:val="11"/>
    <w:qFormat/>
    <w:pPr>
      <w:numPr>
        <w:ilvl w:val="1"/>
      </w:numPr>
    </w:pPr>
    <w:rPr>
      <w:color w:val="595959" w:themeColor="text1" w:themeTint="A6"/>
      <w:spacing w:val="15"/>
      <w:sz w:val="28"/>
      <w:szCs w:val="28"/>
    </w:rPr>
  </w:style>
  <w:style w:type="character" w:customStyle="1" w:styleId="PodtytuZnak">
    <w:name w:val="Podtytuł Znak"/>
    <w:basedOn w:val="Domylnaczcionkaakapitu"/>
    <w:link w:val="Podtytu"/>
    <w:uiPriority w:val="11"/>
    <w:rPr>
      <w:color w:val="595959" w:themeColor="text1" w:themeTint="A6"/>
      <w:spacing w:val="15"/>
      <w:sz w:val="28"/>
      <w:szCs w:val="28"/>
    </w:rPr>
  </w:style>
  <w:style w:type="paragraph" w:styleId="Cytat">
    <w:name w:val="Quote"/>
    <w:basedOn w:val="Normalny"/>
    <w:next w:val="Normalny"/>
    <w:link w:val="CytatZnak"/>
    <w:uiPriority w:val="29"/>
    <w:qFormat/>
    <w:pPr>
      <w:spacing w:before="160"/>
      <w:jc w:val="center"/>
    </w:pPr>
    <w:rPr>
      <w:i/>
      <w:iCs/>
      <w:color w:val="404040" w:themeColor="text1" w:themeTint="BF"/>
    </w:rPr>
  </w:style>
  <w:style w:type="character" w:customStyle="1" w:styleId="CytatZnak">
    <w:name w:val="Cytat Znak"/>
    <w:basedOn w:val="Domylnaczcionkaakapitu"/>
    <w:link w:val="Cytat"/>
    <w:uiPriority w:val="29"/>
    <w:rPr>
      <w:i/>
      <w:iCs/>
      <w:color w:val="404040" w:themeColor="text1" w:themeTint="BF"/>
    </w:rPr>
  </w:style>
  <w:style w:type="character" w:styleId="Wyrnienieintensywne">
    <w:name w:val="Intense Emphasis"/>
    <w:basedOn w:val="Domylnaczcionkaakapitu"/>
    <w:uiPriority w:val="21"/>
    <w:qFormat/>
    <w:rPr>
      <w:i/>
      <w:iCs/>
      <w:color w:val="2E74B5" w:themeColor="accent1" w:themeShade="BF"/>
    </w:rPr>
  </w:style>
  <w:style w:type="paragraph" w:styleId="Cytatintensywny">
    <w:name w:val="Intense Quote"/>
    <w:basedOn w:val="Normalny"/>
    <w:next w:val="Normalny"/>
    <w:link w:val="CytatintensywnyZnak"/>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Pr>
      <w:i/>
      <w:iCs/>
      <w:color w:val="2E74B5" w:themeColor="accent1" w:themeShade="BF"/>
    </w:rPr>
  </w:style>
  <w:style w:type="character" w:styleId="Odwoanieintensywne">
    <w:name w:val="Intense Reference"/>
    <w:basedOn w:val="Domylnaczcionkaakapitu"/>
    <w:uiPriority w:val="32"/>
    <w:qFormat/>
    <w:rPr>
      <w:b/>
      <w:bCs/>
      <w:smallCaps/>
      <w:color w:val="2E74B5" w:themeColor="accent1" w:themeShade="BF"/>
      <w:spacing w:val="5"/>
    </w:rPr>
  </w:style>
  <w:style w:type="paragraph" w:styleId="Bezodstpw">
    <w:name w:val="No Spacing"/>
    <w:basedOn w:val="Normalny"/>
    <w:uiPriority w:val="1"/>
    <w:qFormat/>
  </w:style>
  <w:style w:type="character" w:styleId="Wyrnieniedelikatne">
    <w:name w:val="Subtle Emphasis"/>
    <w:basedOn w:val="Domylnaczcionkaakapitu"/>
    <w:uiPriority w:val="19"/>
    <w:qFormat/>
    <w:rPr>
      <w:i/>
      <w:iCs/>
      <w:color w:val="404040" w:themeColor="text1" w:themeTint="BF"/>
    </w:rPr>
  </w:style>
  <w:style w:type="character" w:styleId="Uwydatnienie">
    <w:name w:val="Emphasis"/>
    <w:basedOn w:val="Domylnaczcionkaakapitu"/>
    <w:uiPriority w:val="20"/>
    <w:qFormat/>
    <w:rPr>
      <w:i/>
      <w:iCs/>
    </w:rPr>
  </w:style>
  <w:style w:type="character" w:styleId="Pogrubienie">
    <w:name w:val="Strong"/>
    <w:basedOn w:val="Domylnaczcionkaakapitu"/>
    <w:uiPriority w:val="22"/>
    <w:qFormat/>
    <w:rPr>
      <w:b/>
      <w:bCs/>
    </w:rPr>
  </w:style>
  <w:style w:type="character" w:styleId="Odwoaniedelikatne">
    <w:name w:val="Subtle Reference"/>
    <w:basedOn w:val="Domylnaczcionkaakapitu"/>
    <w:uiPriority w:val="31"/>
    <w:qFormat/>
    <w:rPr>
      <w:smallCaps/>
      <w:color w:val="5A5A5A" w:themeColor="text1" w:themeTint="A5"/>
    </w:rPr>
  </w:style>
  <w:style w:type="character" w:styleId="Tytuksiki">
    <w:name w:val="Book Title"/>
    <w:basedOn w:val="Domylnaczcionkaakapitu"/>
    <w:uiPriority w:val="33"/>
    <w:qFormat/>
    <w:rPr>
      <w:b/>
      <w:bCs/>
      <w:i/>
      <w:iCs/>
      <w:spacing w:val="5"/>
    </w:rPr>
  </w:style>
  <w:style w:type="character" w:customStyle="1" w:styleId="HeaderChar">
    <w:name w:val="Header Char"/>
    <w:basedOn w:val="Domylnaczcionkaakapitu"/>
    <w:uiPriority w:val="99"/>
  </w:style>
  <w:style w:type="character" w:customStyle="1" w:styleId="FooterChar">
    <w:name w:val="Footer Char"/>
    <w:basedOn w:val="Domylnaczcionkaakapitu"/>
    <w:uiPriority w:val="99"/>
  </w:style>
  <w:style w:type="paragraph" w:styleId="Legenda">
    <w:name w:val="caption"/>
    <w:basedOn w:val="Normalny"/>
    <w:next w:val="Normalny"/>
    <w:uiPriority w:val="35"/>
    <w:unhideWhenUsed/>
    <w:qFormat/>
    <w:pPr>
      <w:spacing w:after="200"/>
    </w:pPr>
    <w:rPr>
      <w:i/>
      <w:iCs/>
      <w:color w:val="44546A" w:themeColor="text2"/>
      <w:sz w:val="18"/>
      <w:szCs w:val="18"/>
    </w:rPr>
  </w:style>
  <w:style w:type="paragraph" w:styleId="Tekstprzypisudolnego">
    <w:name w:val="footnote text"/>
    <w:basedOn w:val="Normalny"/>
    <w:link w:val="TekstprzypisudolnegoZnak"/>
    <w:uiPriority w:val="99"/>
    <w:semiHidden/>
    <w:unhideWhenUsed/>
    <w:rPr>
      <w:sz w:val="20"/>
      <w:szCs w:val="20"/>
    </w:rPr>
  </w:style>
  <w:style w:type="character" w:customStyle="1" w:styleId="TekstprzypisudolnegoZnak">
    <w:name w:val="Tekst przypisu dolnego Znak"/>
    <w:basedOn w:val="Domylnaczcionkaakapitu"/>
    <w:link w:val="Tekstprzypisudolnego"/>
    <w:uiPriority w:val="99"/>
    <w:semiHidden/>
    <w:rPr>
      <w:sz w:val="20"/>
      <w:szCs w:val="20"/>
    </w:rPr>
  </w:style>
  <w:style w:type="character" w:styleId="Odwoanieprzypisudolnego">
    <w:name w:val="footnote reference"/>
    <w:basedOn w:val="Domylnaczcionkaakapitu"/>
    <w:uiPriority w:val="99"/>
    <w:semiHidden/>
    <w:unhideWhenUsed/>
    <w:rPr>
      <w:vertAlign w:val="superscript"/>
    </w:rPr>
  </w:style>
  <w:style w:type="paragraph" w:styleId="Tekstprzypisukocowego">
    <w:name w:val="endnote text"/>
    <w:basedOn w:val="Normalny"/>
    <w:link w:val="TekstprzypisukocowegoZnak"/>
    <w:uiPriority w:val="99"/>
    <w:semiHidden/>
    <w:unhideWhenUsed/>
    <w:rPr>
      <w:sz w:val="20"/>
      <w:szCs w:val="20"/>
    </w:rPr>
  </w:style>
  <w:style w:type="character" w:customStyle="1" w:styleId="TekstprzypisukocowegoZnak">
    <w:name w:val="Tekst przypisu końcowego Znak"/>
    <w:basedOn w:val="Domylnaczcionkaakapitu"/>
    <w:link w:val="Tekstprzypisukocowego"/>
    <w:uiPriority w:val="99"/>
    <w:semiHidden/>
    <w:rPr>
      <w:sz w:val="20"/>
      <w:szCs w:val="20"/>
    </w:rPr>
  </w:style>
  <w:style w:type="character" w:styleId="Odwoanieprzypisukocowego">
    <w:name w:val="endnote reference"/>
    <w:basedOn w:val="Domylnaczcionkaakapitu"/>
    <w:uiPriority w:val="99"/>
    <w:semiHidden/>
    <w:unhideWhenUsed/>
    <w:rPr>
      <w:vertAlign w:val="superscript"/>
    </w:rPr>
  </w:style>
  <w:style w:type="paragraph" w:styleId="Spistreci1">
    <w:name w:val="toc 1"/>
    <w:basedOn w:val="Normalny"/>
    <w:next w:val="Normalny"/>
    <w:uiPriority w:val="39"/>
    <w:unhideWhenUsed/>
    <w:pPr>
      <w:spacing w:after="100"/>
    </w:pPr>
  </w:style>
  <w:style w:type="paragraph" w:styleId="Spistreci2">
    <w:name w:val="toc 2"/>
    <w:basedOn w:val="Normalny"/>
    <w:next w:val="Normalny"/>
    <w:uiPriority w:val="39"/>
    <w:unhideWhenUsed/>
    <w:pPr>
      <w:spacing w:after="100"/>
      <w:ind w:left="220"/>
    </w:pPr>
  </w:style>
  <w:style w:type="paragraph" w:styleId="Spistreci3">
    <w:name w:val="toc 3"/>
    <w:basedOn w:val="Normalny"/>
    <w:next w:val="Normalny"/>
    <w:uiPriority w:val="39"/>
    <w:unhideWhenUsed/>
    <w:pPr>
      <w:spacing w:after="100"/>
      <w:ind w:left="440"/>
    </w:pPr>
  </w:style>
  <w:style w:type="paragraph" w:styleId="Spistreci4">
    <w:name w:val="toc 4"/>
    <w:basedOn w:val="Normalny"/>
    <w:next w:val="Normalny"/>
    <w:uiPriority w:val="39"/>
    <w:unhideWhenUsed/>
    <w:pPr>
      <w:spacing w:after="100"/>
      <w:ind w:left="660"/>
    </w:pPr>
  </w:style>
  <w:style w:type="paragraph" w:styleId="Spistreci5">
    <w:name w:val="toc 5"/>
    <w:basedOn w:val="Normalny"/>
    <w:next w:val="Normalny"/>
    <w:uiPriority w:val="39"/>
    <w:unhideWhenUsed/>
    <w:pPr>
      <w:spacing w:after="100"/>
      <w:ind w:left="880"/>
    </w:pPr>
  </w:style>
  <w:style w:type="paragraph" w:styleId="Spistreci6">
    <w:name w:val="toc 6"/>
    <w:basedOn w:val="Normalny"/>
    <w:next w:val="Normalny"/>
    <w:uiPriority w:val="39"/>
    <w:unhideWhenUsed/>
    <w:pPr>
      <w:spacing w:after="100"/>
      <w:ind w:left="1100"/>
    </w:pPr>
  </w:style>
  <w:style w:type="paragraph" w:styleId="Spistreci7">
    <w:name w:val="toc 7"/>
    <w:basedOn w:val="Normalny"/>
    <w:next w:val="Normalny"/>
    <w:uiPriority w:val="39"/>
    <w:unhideWhenUsed/>
    <w:pPr>
      <w:spacing w:after="100"/>
      <w:ind w:left="1320"/>
    </w:pPr>
  </w:style>
  <w:style w:type="paragraph" w:styleId="Spistreci8">
    <w:name w:val="toc 8"/>
    <w:basedOn w:val="Normalny"/>
    <w:next w:val="Normalny"/>
    <w:uiPriority w:val="39"/>
    <w:unhideWhenUsed/>
    <w:pPr>
      <w:spacing w:after="100"/>
      <w:ind w:left="1540"/>
    </w:pPr>
  </w:style>
  <w:style w:type="paragraph" w:styleId="Spistreci9">
    <w:name w:val="toc 9"/>
    <w:basedOn w:val="Normalny"/>
    <w:next w:val="Normalny"/>
    <w:uiPriority w:val="39"/>
    <w:unhideWhenUsed/>
    <w:pPr>
      <w:spacing w:after="100"/>
      <w:ind w:left="1760"/>
    </w:pPr>
  </w:style>
  <w:style w:type="character" w:styleId="Tekstzastpczy">
    <w:name w:val="Placeholder Text"/>
    <w:basedOn w:val="Domylnaczcionkaakapitu"/>
    <w:uiPriority w:val="99"/>
    <w:semiHidden/>
    <w:rPr>
      <w:color w:val="666666"/>
    </w:rPr>
  </w:style>
  <w:style w:type="paragraph" w:styleId="Nagwekspisutreci">
    <w:name w:val="TOC Heading"/>
    <w:uiPriority w:val="39"/>
    <w:unhideWhenUsed/>
  </w:style>
  <w:style w:type="paragraph" w:styleId="Spisilustracji">
    <w:name w:val="table of figures"/>
    <w:basedOn w:val="Normalny"/>
    <w:next w:val="Normalny"/>
    <w:uiPriority w:val="99"/>
    <w:unhideWhenUsed/>
  </w:style>
  <w:style w:type="table" w:styleId="Tabela-Siatka">
    <w:name w:val="Table Grid"/>
    <w:basedOn w:val="Standardowy"/>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dymka">
    <w:name w:val="Balloon Text"/>
    <w:basedOn w:val="Normalny"/>
    <w:link w:val="TekstdymkaZnak"/>
    <w:rPr>
      <w:rFonts w:ascii="Segoe UI" w:hAnsi="Segoe UI" w:cs="Segoe UI"/>
      <w:sz w:val="18"/>
      <w:szCs w:val="18"/>
    </w:rPr>
  </w:style>
  <w:style w:type="character" w:customStyle="1" w:styleId="TekstdymkaZnak">
    <w:name w:val="Tekst dymka Znak"/>
    <w:basedOn w:val="Domylnaczcionkaakapitu"/>
    <w:link w:val="Tekstdymka"/>
    <w:rPr>
      <w:rFonts w:ascii="Segoe UI" w:hAnsi="Segoe UI" w:cs="Segoe UI"/>
      <w:sz w:val="18"/>
      <w:szCs w:val="18"/>
    </w:rPr>
  </w:style>
  <w:style w:type="paragraph" w:styleId="Poprawka">
    <w:name w:val="Revision"/>
    <w:hidden/>
    <w:uiPriority w:val="99"/>
    <w:semiHidden/>
    <w:rPr>
      <w:sz w:val="24"/>
      <w:szCs w:val="24"/>
    </w:rPr>
  </w:style>
  <w:style w:type="paragraph" w:styleId="Akapitzlist">
    <w:name w:val="List Paragraph"/>
    <w:basedOn w:val="Normalny"/>
    <w:link w:val="AkapitzlistZnak"/>
    <w:uiPriority w:val="34"/>
    <w:qFormat/>
    <w:pPr>
      <w:ind w:left="720"/>
      <w:contextualSpacing/>
    </w:pPr>
  </w:style>
  <w:style w:type="character" w:customStyle="1" w:styleId="AkapitzlistZnak">
    <w:name w:val="Akapit z listą Znak"/>
    <w:link w:val="Akapitzlist"/>
    <w:uiPriority w:val="34"/>
    <w:qFormat/>
    <w:rPr>
      <w:sz w:val="24"/>
      <w:szCs w:val="24"/>
    </w:rPr>
  </w:style>
  <w:style w:type="character" w:styleId="Hipercze">
    <w:name w:val="Hyperlink"/>
    <w:basedOn w:val="Domylnaczcionkaakapitu"/>
    <w:rPr>
      <w:color w:val="0563C1" w:themeColor="hyperlink"/>
      <w:u w:val="single"/>
    </w:rPr>
  </w:style>
  <w:style w:type="character" w:styleId="Nierozpoznanawzmianka">
    <w:name w:val="Unresolved Mention"/>
    <w:basedOn w:val="Domylnaczcionkaakapitu"/>
    <w:uiPriority w:val="99"/>
    <w:semiHidden/>
    <w:unhideWhenUsed/>
    <w:rPr>
      <w:color w:val="605E5C"/>
      <w:shd w:val="clear" w:color="auto" w:fill="E1DFDD"/>
    </w:rPr>
  </w:style>
  <w:style w:type="character" w:styleId="UyteHipercze">
    <w:name w:val="FollowedHyperlink"/>
    <w:basedOn w:val="Domylnaczcionkaakapitu"/>
    <w:rPr>
      <w:color w:val="954F72" w:themeColor="followedHyperlink"/>
      <w:u w:val="single"/>
    </w:rPr>
  </w:style>
  <w:style w:type="paragraph" w:styleId="Nagwek">
    <w:name w:val="header"/>
    <w:basedOn w:val="Normalny"/>
    <w:link w:val="NagwekZnak"/>
    <w:pPr>
      <w:tabs>
        <w:tab w:val="center" w:pos="4536"/>
        <w:tab w:val="right" w:pos="9072"/>
      </w:tabs>
    </w:pPr>
  </w:style>
  <w:style w:type="character" w:customStyle="1" w:styleId="NagwekZnak">
    <w:name w:val="Nagłówek Znak"/>
    <w:basedOn w:val="Domylnaczcionkaakapitu"/>
    <w:link w:val="Nagwek"/>
    <w:rPr>
      <w:sz w:val="24"/>
      <w:szCs w:val="24"/>
    </w:rPr>
  </w:style>
  <w:style w:type="paragraph" w:styleId="Stopka">
    <w:name w:val="footer"/>
    <w:basedOn w:val="Normalny"/>
    <w:link w:val="StopkaZnak"/>
    <w:uiPriority w:val="99"/>
    <w:pPr>
      <w:tabs>
        <w:tab w:val="center" w:pos="4536"/>
        <w:tab w:val="right" w:pos="9072"/>
      </w:tabs>
    </w:pPr>
  </w:style>
  <w:style w:type="character" w:customStyle="1" w:styleId="StopkaZnak">
    <w:name w:val="Stopka Znak"/>
    <w:basedOn w:val="Domylnaczcionkaakapitu"/>
    <w:link w:val="Stopka"/>
    <w:uiPriority w:val="99"/>
    <w:rPr>
      <w:sz w:val="24"/>
      <w:szCs w:val="24"/>
    </w:rPr>
  </w:style>
  <w:style w:type="paragraph" w:customStyle="1" w:styleId="isselectedend">
    <w:name w:val="isselectedend"/>
    <w:basedOn w:val="Normalny"/>
    <w:pPr>
      <w:spacing w:before="100" w:beforeAutospacing="1" w:after="100" w:afterAutospacing="1"/>
    </w:pPr>
  </w:style>
  <w:style w:type="paragraph" w:styleId="NormalnyWeb">
    <w:name w:val="Normal (Web)"/>
    <w:basedOn w:val="Normalny"/>
    <w:uiPriority w:val="99"/>
    <w:unhideWhenUsed/>
    <w:pPr>
      <w:spacing w:before="100" w:beforeAutospacing="1" w:after="100" w:afterAutospacing="1"/>
    </w:pPr>
  </w:style>
  <w:style w:type="character" w:customStyle="1" w:styleId="zmsearchresult">
    <w:name w:val="zmsearchresult"/>
    <w:basedOn w:val="Domylnaczcionkaakapitu"/>
  </w:style>
  <w:style w:type="paragraph" w:customStyle="1" w:styleId="default">
    <w:name w:val="default"/>
    <w:basedOn w:val="Normalny"/>
    <w:pPr>
      <w:spacing w:before="100" w:beforeAutospacing="1" w:after="100" w:afterAutospacing="1"/>
    </w:pPr>
  </w:style>
  <w:style w:type="character" w:customStyle="1" w:styleId="object">
    <w:name w:val="object"/>
    <w:basedOn w:val="Domylnaczcionkaakapitu"/>
  </w:style>
  <w:style w:type="paragraph" w:customStyle="1" w:styleId="elementtoproof">
    <w:name w:val="elementtoproof"/>
    <w:basedOn w:val="Normalny"/>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chopin.musicsources.pl"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Arial"/>
        <a:cs typeface="Arial"/>
      </a:majorFont>
      <a:minorFont>
        <a:latin typeface="Calibri"/>
        <a:ea typeface="Arial"/>
        <a:cs typeface="Arial"/>
      </a:minorFont>
    </a:fontScheme>
    <a:fmtScheme name="Pakiet 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F7BCD146A8C3142967C476445A140A0" ma:contentTypeVersion="10" ma:contentTypeDescription="Utwórz nowy dokument." ma:contentTypeScope="" ma:versionID="41b1d75f3f3abef01e4476f1c096cfd9">
  <xsd:schema xmlns:xsd="http://www.w3.org/2001/XMLSchema" xmlns:xs="http://www.w3.org/2001/XMLSchema" xmlns:p="http://schemas.microsoft.com/office/2006/metadata/properties" xmlns:ns2="c24315a8-7f6e-4d56-b881-c48260c69978" xmlns:ns3="b9d517b0-2828-406a-b2c9-02cd90f82cc9" targetNamespace="http://schemas.microsoft.com/office/2006/metadata/properties" ma:root="true" ma:fieldsID="76dbef58705ce83304305cb9d731be04" ns2:_="" ns3:_="">
    <xsd:import namespace="c24315a8-7f6e-4d56-b881-c48260c69978"/>
    <xsd:import namespace="b9d517b0-2828-406a-b2c9-02cd90f82c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315a8-7f6e-4d56-b881-c48260c699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88746b49-d001-4972-b357-55943193dfd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9d517b0-2828-406a-b2c9-02cd90f82c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31b291-cc00-461f-b364-989a8e125edd}" ma:internalName="TaxCatchAll" ma:showField="CatchAllData" ma:web="b9d517b0-2828-406a-b2c9-02cd90f82c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4315a8-7f6e-4d56-b881-c48260c69978">
      <Terms xmlns="http://schemas.microsoft.com/office/infopath/2007/PartnerControls"/>
    </lcf76f155ced4ddcb4097134ff3c332f>
    <TaxCatchAll xmlns="b9d517b0-2828-406a-b2c9-02cd90f82c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8AFD52-A41A-0E41-9FF1-02311F52A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315a8-7f6e-4d56-b881-c48260c69978"/>
    <ds:schemaRef ds:uri="b9d517b0-2828-406a-b2c9-02cd90f82c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D0776D-4EF9-B744-B480-75621211565E}">
  <ds:schemaRefs>
    <ds:schemaRef ds:uri="http://schemas.microsoft.com/office/2006/metadata/properties"/>
    <ds:schemaRef ds:uri="http://schemas.microsoft.com/office/infopath/2007/PartnerControls"/>
    <ds:schemaRef ds:uri="c24315a8-7f6e-4d56-b881-c48260c69978"/>
    <ds:schemaRef ds:uri="b9d517b0-2828-406a-b2c9-02cd90f82cc9"/>
  </ds:schemaRefs>
</ds:datastoreItem>
</file>

<file path=customXml/itemProps3.xml><?xml version="1.0" encoding="utf-8"?>
<ds:datastoreItem xmlns:ds="http://schemas.openxmlformats.org/officeDocument/2006/customXml" ds:itemID="{B1022DA3-8AC8-9A4C-9A9A-35F2106084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7411</Words>
  <Characters>41949</Characters>
  <Application>Microsoft Office Word</Application>
  <DocSecurity>0</DocSecurity>
  <Lines>1398</Lines>
  <Paragraphs>1007</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48353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cp:lastModifiedBy>Ewa Bogula-Gniazdowska </cp:lastModifiedBy>
  <cp:revision>2</cp:revision>
  <dcterms:created xsi:type="dcterms:W3CDTF">2026-06-15T22:56:00Z</dcterms:created>
  <dcterms:modified xsi:type="dcterms:W3CDTF">2026-06-15T22:56:00Z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0x0101002F7BCD146A8C3142967C476445A140A0</vt:lpwstr>
  </property>
  <property fmtid="{D5CDD505-2E9C-101B-9397-08002B2CF9AE}" pid="3" name="MediaServiceImageTags">
    <vt:lpwstr/>
  </property>
</Properties>
</file>